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D5" w:rsidRDefault="00AD52D5">
      <w:pPr>
        <w:pStyle w:val="a5"/>
        <w:spacing w:beforeAutospacing="0" w:afterAutospacing="0" w:line="300" w:lineRule="exact"/>
        <w:jc w:val="center"/>
        <w:rPr>
          <w:rFonts w:ascii="Times New Roman" w:eastAsia="方正小标宋_GBK" w:hAnsi="Times New Roman"/>
          <w:sz w:val="44"/>
          <w:szCs w:val="44"/>
        </w:rPr>
      </w:pPr>
    </w:p>
    <w:p w:rsidR="00AD52D5" w:rsidRDefault="00CD76F4">
      <w:pPr>
        <w:pStyle w:val="a5"/>
        <w:spacing w:beforeAutospacing="0" w:afterAutospacing="0" w:line="556" w:lineRule="exact"/>
        <w:jc w:val="center"/>
        <w:rPr>
          <w:rFonts w:ascii="Times New Roman" w:eastAsia="方正小标宋_GBK" w:hAnsi="Times New Roman"/>
          <w:sz w:val="44"/>
          <w:szCs w:val="44"/>
        </w:rPr>
      </w:pPr>
      <w:r>
        <w:rPr>
          <w:rFonts w:ascii="Times New Roman" w:eastAsia="方正小标宋_GBK" w:hAnsi="Times New Roman"/>
          <w:sz w:val="44"/>
          <w:szCs w:val="44"/>
        </w:rPr>
        <w:t>汉中市工业和信息化局</w:t>
      </w:r>
    </w:p>
    <w:p w:rsidR="00AD52D5" w:rsidRDefault="00CD76F4">
      <w:pPr>
        <w:pStyle w:val="a5"/>
        <w:spacing w:beforeAutospacing="0" w:afterAutospacing="0" w:line="556" w:lineRule="exact"/>
        <w:jc w:val="center"/>
        <w:rPr>
          <w:rFonts w:ascii="Times New Roman" w:eastAsia="方正小标宋_GBK" w:hAnsi="Times New Roman"/>
          <w:sz w:val="44"/>
          <w:szCs w:val="44"/>
        </w:rPr>
      </w:pPr>
      <w:r>
        <w:rPr>
          <w:rFonts w:ascii="Times New Roman" w:eastAsia="方正小标宋_GBK" w:hAnsi="Times New Roman"/>
          <w:sz w:val="44"/>
          <w:szCs w:val="44"/>
        </w:rPr>
        <w:t>关于公布汉中市涉企保证金目录清单的通知</w:t>
      </w:r>
    </w:p>
    <w:p w:rsidR="00AD52D5" w:rsidRDefault="00AD52D5">
      <w:pPr>
        <w:pStyle w:val="a5"/>
        <w:spacing w:beforeAutospacing="0" w:afterAutospacing="0" w:line="556" w:lineRule="exact"/>
        <w:jc w:val="both"/>
        <w:rPr>
          <w:rFonts w:ascii="Times New Roman" w:eastAsia="仿宋" w:hAnsi="Times New Roman"/>
          <w:sz w:val="30"/>
          <w:szCs w:val="30"/>
        </w:rPr>
      </w:pPr>
    </w:p>
    <w:p w:rsidR="00AD52D5" w:rsidRDefault="00CD76F4">
      <w:pPr>
        <w:pStyle w:val="a5"/>
        <w:spacing w:beforeAutospacing="0" w:afterAutospacing="0" w:line="556" w:lineRule="exact"/>
        <w:jc w:val="both"/>
        <w:rPr>
          <w:rFonts w:ascii="Times New Roman" w:eastAsia="仿宋_GB2312" w:hAnsi="Times New Roman"/>
          <w:sz w:val="32"/>
          <w:szCs w:val="32"/>
        </w:rPr>
      </w:pPr>
      <w:r>
        <w:rPr>
          <w:rFonts w:ascii="Times New Roman" w:eastAsia="仿宋_GB2312" w:hAnsi="Times New Roman"/>
          <w:sz w:val="32"/>
          <w:szCs w:val="32"/>
        </w:rPr>
        <w:t>各县区人民政府，市政府各部门：</w:t>
      </w:r>
    </w:p>
    <w:p w:rsidR="00AD52D5" w:rsidRDefault="00CD76F4">
      <w:pPr>
        <w:pStyle w:val="a5"/>
        <w:spacing w:beforeAutospacing="0" w:afterAutospacing="0" w:line="556"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rPr>
        <w:t>为全面贯彻落实国家发展改革委等四部门《关于做好</w:t>
      </w:r>
      <w:r>
        <w:rPr>
          <w:rFonts w:ascii="Times New Roman" w:eastAsia="仿宋_GB2312" w:hAnsi="Times New Roman"/>
          <w:sz w:val="32"/>
          <w:szCs w:val="32"/>
        </w:rPr>
        <w:t>2021</w:t>
      </w:r>
      <w:r>
        <w:rPr>
          <w:rFonts w:ascii="Times New Roman" w:eastAsia="仿宋_GB2312" w:hAnsi="Times New Roman"/>
          <w:sz w:val="32"/>
          <w:szCs w:val="32"/>
        </w:rPr>
        <w:t>年降成本重点工作的通知》和省工信厅《关于印发</w:t>
      </w:r>
      <w:r>
        <w:rPr>
          <w:rFonts w:ascii="Times New Roman" w:eastAsia="仿宋_GB2312" w:hAnsi="Times New Roman"/>
          <w:sz w:val="32"/>
          <w:szCs w:val="32"/>
        </w:rPr>
        <w:t>2021</w:t>
      </w:r>
      <w:r>
        <w:rPr>
          <w:rFonts w:ascii="Times New Roman" w:eastAsia="仿宋_GB2312" w:hAnsi="Times New Roman"/>
          <w:sz w:val="32"/>
          <w:szCs w:val="32"/>
        </w:rPr>
        <w:t>年陕西省减轻企业负担工作要点的函》文件要求，市工信局</w:t>
      </w:r>
      <w:r>
        <w:rPr>
          <w:rFonts w:ascii="Times New Roman" w:eastAsia="仿宋_GB2312" w:hAnsi="Times New Roman"/>
          <w:sz w:val="32"/>
          <w:szCs w:val="32"/>
          <w:shd w:val="clear" w:color="auto" w:fill="FFFFFF"/>
        </w:rPr>
        <w:t>对我市涉企保证金项目进行了进一步清理规范，形成《汉中市涉企保证金目录清单》</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见附件</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。并就有关事项通知如下：</w:t>
      </w:r>
    </w:p>
    <w:p w:rsidR="00AD52D5" w:rsidRDefault="00CD76F4">
      <w:pPr>
        <w:pStyle w:val="a5"/>
        <w:spacing w:beforeAutospacing="0" w:afterAutospacing="0" w:line="556"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一、</w:t>
      </w:r>
      <w:r>
        <w:rPr>
          <w:rFonts w:ascii="Times New Roman" w:eastAsia="仿宋_GB2312" w:hAnsi="Times New Roman"/>
          <w:spacing w:val="-6"/>
          <w:sz w:val="32"/>
          <w:szCs w:val="32"/>
          <w:shd w:val="clear" w:color="auto" w:fill="FFFFFF"/>
        </w:rPr>
        <w:t>自本通知印发之日起，各县区、各部门严格执行涉企保证金目录清单制度，目录清单之外的涉企保证金一律不得执行。要对已取消保证金资金，以及逾期未返还或超额收取的保证金资金及时清退返还，于</w:t>
      </w:r>
      <w:r>
        <w:rPr>
          <w:rFonts w:ascii="Times New Roman" w:eastAsia="仿宋_GB2312" w:hAnsi="Times New Roman"/>
          <w:spacing w:val="-6"/>
          <w:sz w:val="32"/>
          <w:szCs w:val="32"/>
          <w:shd w:val="clear" w:color="auto" w:fill="FFFFFF"/>
        </w:rPr>
        <w:t>2021</w:t>
      </w:r>
      <w:r>
        <w:rPr>
          <w:rFonts w:ascii="Times New Roman" w:eastAsia="仿宋_GB2312" w:hAnsi="Times New Roman"/>
          <w:spacing w:val="-6"/>
          <w:sz w:val="32"/>
          <w:szCs w:val="32"/>
          <w:shd w:val="clear" w:color="auto" w:fill="FFFFFF"/>
        </w:rPr>
        <w:t>年</w:t>
      </w:r>
      <w:r>
        <w:rPr>
          <w:rFonts w:ascii="Times New Roman" w:eastAsia="仿宋_GB2312" w:hAnsi="Times New Roman"/>
          <w:spacing w:val="-6"/>
          <w:sz w:val="32"/>
          <w:szCs w:val="32"/>
          <w:shd w:val="clear" w:color="auto" w:fill="FFFFFF"/>
        </w:rPr>
        <w:t>9</w:t>
      </w:r>
      <w:r>
        <w:rPr>
          <w:rFonts w:ascii="Times New Roman" w:eastAsia="仿宋_GB2312" w:hAnsi="Times New Roman"/>
          <w:spacing w:val="-6"/>
          <w:sz w:val="32"/>
          <w:szCs w:val="32"/>
          <w:shd w:val="clear" w:color="auto" w:fill="FFFFFF"/>
        </w:rPr>
        <w:t>月</w:t>
      </w:r>
      <w:r>
        <w:rPr>
          <w:rFonts w:ascii="Times New Roman" w:eastAsia="仿宋_GB2312" w:hAnsi="Times New Roman"/>
          <w:spacing w:val="-6"/>
          <w:sz w:val="32"/>
          <w:szCs w:val="32"/>
          <w:shd w:val="clear" w:color="auto" w:fill="FFFFFF"/>
        </w:rPr>
        <w:t>30</w:t>
      </w:r>
      <w:r>
        <w:rPr>
          <w:rFonts w:ascii="Times New Roman" w:eastAsia="仿宋_GB2312" w:hAnsi="Times New Roman"/>
          <w:spacing w:val="-6"/>
          <w:sz w:val="32"/>
          <w:szCs w:val="32"/>
          <w:shd w:val="clear" w:color="auto" w:fill="FFFFFF"/>
        </w:rPr>
        <w:t>日前全部完成。要发挥各级减轻企业负担举报机制和审计部门作用，加强监督检查，制止各种借保证金名义占用企业资金的行为。对违规向企业收取保证金、不按时返还、挪用保证金等行为要严肃查处，加大曝光和问责力度。</w:t>
      </w:r>
    </w:p>
    <w:p w:rsidR="00AD52D5" w:rsidRDefault="00CD76F4">
      <w:pPr>
        <w:pStyle w:val="a5"/>
        <w:spacing w:beforeAutospacing="0" w:afterAutospacing="0" w:line="556"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二、</w:t>
      </w:r>
      <w:r>
        <w:rPr>
          <w:rFonts w:ascii="Times New Roman" w:eastAsia="仿宋_GB2312" w:hAnsi="Times New Roman"/>
          <w:spacing w:val="-6"/>
          <w:sz w:val="32"/>
          <w:szCs w:val="32"/>
          <w:shd w:val="clear" w:color="auto" w:fill="FFFFFF"/>
        </w:rPr>
        <w:t>执行涉企保证金的县区和部门要抓紧制定完善管理制度，建立资金台账，规范管理程序，加强监督检查，严肃财经纪律，将保证</w:t>
      </w:r>
      <w:r>
        <w:rPr>
          <w:rFonts w:ascii="Times New Roman" w:eastAsia="仿宋_GB2312" w:hAnsi="Times New Roman"/>
          <w:spacing w:val="-6"/>
          <w:sz w:val="32"/>
          <w:szCs w:val="32"/>
          <w:shd w:val="clear" w:color="auto" w:fill="FFFFFF"/>
        </w:rPr>
        <w:t>金收取及返还情况向社会公开。要创新管理方式，加强事中事后监管，加快推动企业诚信体系建设，对诚信记录好的企业免收保证金或降低缴纳比例（额度），适度扩大银行保函应用范围，减少企业资金占用。市涉企保证金目录清单中</w:t>
      </w:r>
      <w:r>
        <w:rPr>
          <w:rFonts w:ascii="Times New Roman" w:eastAsia="仿宋_GB2312" w:hAnsi="Times New Roman"/>
          <w:spacing w:val="-6"/>
          <w:sz w:val="32"/>
          <w:szCs w:val="32"/>
          <w:shd w:val="clear" w:color="auto" w:fill="FFFFFF"/>
        </w:rPr>
        <w:t>收费项目</w:t>
      </w:r>
      <w:r>
        <w:rPr>
          <w:rFonts w:ascii="Times New Roman" w:eastAsia="仿宋_GB2312" w:hAnsi="Times New Roman"/>
          <w:spacing w:val="-6"/>
          <w:sz w:val="32"/>
          <w:szCs w:val="32"/>
          <w:shd w:val="clear" w:color="auto" w:fill="FFFFFF"/>
        </w:rPr>
        <w:t>对应的市级部门，按《汉中市涉企保证金目录清单》要求建立涉企保证金台账，</w:t>
      </w:r>
      <w:r>
        <w:rPr>
          <w:rFonts w:ascii="Times New Roman" w:eastAsia="仿宋_GB2312" w:hAnsi="Times New Roman"/>
          <w:spacing w:val="-6"/>
          <w:sz w:val="32"/>
          <w:szCs w:val="32"/>
          <w:shd w:val="clear" w:color="auto" w:fill="FFFFFF"/>
        </w:rPr>
        <w:t>2021</w:t>
      </w:r>
      <w:r>
        <w:rPr>
          <w:rFonts w:ascii="Times New Roman" w:eastAsia="仿宋_GB2312" w:hAnsi="Times New Roman"/>
          <w:spacing w:val="-6"/>
          <w:sz w:val="32"/>
          <w:szCs w:val="32"/>
          <w:shd w:val="clear" w:color="auto" w:fill="FFFFFF"/>
        </w:rPr>
        <w:lastRenderedPageBreak/>
        <w:t>年</w:t>
      </w:r>
      <w:r>
        <w:rPr>
          <w:rFonts w:ascii="Times New Roman" w:eastAsia="仿宋_GB2312" w:hAnsi="Times New Roman"/>
          <w:spacing w:val="-6"/>
          <w:sz w:val="32"/>
          <w:szCs w:val="32"/>
          <w:shd w:val="clear" w:color="auto" w:fill="FFFFFF"/>
        </w:rPr>
        <w:t>9</w:t>
      </w:r>
      <w:r>
        <w:rPr>
          <w:rFonts w:ascii="Times New Roman" w:eastAsia="仿宋_GB2312" w:hAnsi="Times New Roman"/>
          <w:spacing w:val="-6"/>
          <w:sz w:val="32"/>
          <w:szCs w:val="32"/>
          <w:shd w:val="clear" w:color="auto" w:fill="FFFFFF"/>
        </w:rPr>
        <w:t>月</w:t>
      </w:r>
      <w:r>
        <w:rPr>
          <w:rFonts w:ascii="Times New Roman" w:eastAsia="仿宋_GB2312" w:hAnsi="Times New Roman"/>
          <w:spacing w:val="-6"/>
          <w:sz w:val="32"/>
          <w:szCs w:val="32"/>
          <w:shd w:val="clear" w:color="auto" w:fill="FFFFFF"/>
        </w:rPr>
        <w:t>30</w:t>
      </w:r>
      <w:r>
        <w:rPr>
          <w:rFonts w:ascii="Times New Roman" w:eastAsia="仿宋_GB2312" w:hAnsi="Times New Roman"/>
          <w:spacing w:val="-6"/>
          <w:sz w:val="32"/>
          <w:szCs w:val="32"/>
          <w:shd w:val="clear" w:color="auto" w:fill="FFFFFF"/>
        </w:rPr>
        <w:t>日前将</w:t>
      </w:r>
      <w:r>
        <w:rPr>
          <w:rFonts w:ascii="Times New Roman" w:eastAsia="仿宋_GB2312" w:hAnsi="Times New Roman"/>
          <w:spacing w:val="-6"/>
          <w:sz w:val="32"/>
          <w:szCs w:val="32"/>
          <w:shd w:val="clear" w:color="auto" w:fill="FFFFFF"/>
        </w:rPr>
        <w:t>2020</w:t>
      </w:r>
      <w:r>
        <w:rPr>
          <w:rFonts w:ascii="Times New Roman" w:eastAsia="仿宋_GB2312" w:hAnsi="Times New Roman"/>
          <w:spacing w:val="-6"/>
          <w:sz w:val="32"/>
          <w:szCs w:val="32"/>
          <w:shd w:val="clear" w:color="auto" w:fill="FFFFFF"/>
        </w:rPr>
        <w:t>年台账报市工信局，汇总形成《汉中市涉企</w:t>
      </w:r>
      <w:r>
        <w:rPr>
          <w:rFonts w:ascii="Times New Roman" w:eastAsia="仿宋_GB2312" w:hAnsi="Times New Roman"/>
          <w:spacing w:val="-11"/>
          <w:sz w:val="32"/>
          <w:szCs w:val="32"/>
          <w:shd w:val="clear" w:color="auto" w:fill="FFFFFF"/>
        </w:rPr>
        <w:t>保证金台账表》</w:t>
      </w:r>
      <w:r>
        <w:rPr>
          <w:rFonts w:ascii="Times New Roman" w:eastAsia="仿宋_GB2312" w:hAnsi="Times New Roman"/>
          <w:spacing w:val="-11"/>
          <w:sz w:val="32"/>
          <w:szCs w:val="32"/>
          <w:shd w:val="clear" w:color="auto" w:fill="FFFFFF"/>
        </w:rPr>
        <w:t>（</w:t>
      </w:r>
      <w:r>
        <w:rPr>
          <w:rFonts w:ascii="Times New Roman" w:eastAsia="仿宋_GB2312" w:hAnsi="Times New Roman"/>
          <w:spacing w:val="-11"/>
          <w:sz w:val="32"/>
          <w:szCs w:val="32"/>
          <w:shd w:val="clear" w:color="auto" w:fill="FFFFFF"/>
        </w:rPr>
        <w:t>附件</w:t>
      </w:r>
      <w:r>
        <w:rPr>
          <w:rFonts w:ascii="Times New Roman" w:eastAsia="仿宋_GB2312" w:hAnsi="Times New Roman"/>
          <w:spacing w:val="-11"/>
          <w:sz w:val="32"/>
          <w:szCs w:val="32"/>
          <w:shd w:val="clear" w:color="auto" w:fill="FFFFFF"/>
        </w:rPr>
        <w:t>2</w:t>
      </w:r>
      <w:r>
        <w:rPr>
          <w:rFonts w:ascii="Times New Roman" w:eastAsia="仿宋_GB2312" w:hAnsi="Times New Roman"/>
          <w:spacing w:val="-11"/>
          <w:sz w:val="32"/>
          <w:szCs w:val="32"/>
          <w:shd w:val="clear" w:color="auto" w:fill="FFFFFF"/>
        </w:rPr>
        <w:t>）</w:t>
      </w:r>
      <w:r>
        <w:rPr>
          <w:rFonts w:ascii="Times New Roman" w:eastAsia="仿宋_GB2312" w:hAnsi="Times New Roman"/>
          <w:spacing w:val="-11"/>
          <w:sz w:val="32"/>
          <w:szCs w:val="32"/>
          <w:shd w:val="clear" w:color="auto" w:fill="FFFFFF"/>
        </w:rPr>
        <w:t>。以后每年底前报本年度涉企保证金台账。</w:t>
      </w:r>
    </w:p>
    <w:p w:rsidR="00AD52D5" w:rsidRDefault="00AD52D5">
      <w:pPr>
        <w:pStyle w:val="a5"/>
        <w:spacing w:beforeAutospacing="0" w:afterAutospacing="0" w:line="556" w:lineRule="exact"/>
        <w:ind w:firstLineChars="200" w:firstLine="640"/>
        <w:rPr>
          <w:rFonts w:ascii="Times New Roman" w:eastAsia="仿宋_GB2312" w:hAnsi="Times New Roman"/>
          <w:sz w:val="32"/>
          <w:szCs w:val="32"/>
          <w:shd w:val="clear" w:color="auto" w:fill="FFFFFF"/>
        </w:rPr>
      </w:pPr>
    </w:p>
    <w:p w:rsidR="00AD52D5" w:rsidRDefault="00CD76F4">
      <w:pPr>
        <w:pStyle w:val="a5"/>
        <w:spacing w:beforeAutospacing="0" w:afterAutospacing="0" w:line="556"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附件：</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《汉中市涉企保证金目录清单》</w:t>
      </w:r>
    </w:p>
    <w:p w:rsidR="00AD52D5" w:rsidRDefault="00CD76F4">
      <w:pPr>
        <w:pStyle w:val="a5"/>
        <w:spacing w:beforeAutospacing="0" w:afterAutospacing="0" w:line="556" w:lineRule="exact"/>
        <w:ind w:firstLineChars="500" w:firstLine="160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汉中市涉企保证金台账表</w:t>
      </w:r>
      <w:r>
        <w:rPr>
          <w:rFonts w:ascii="Times New Roman" w:eastAsia="仿宋_GB2312" w:hAnsi="Times New Roman"/>
          <w:sz w:val="32"/>
          <w:szCs w:val="32"/>
          <w:shd w:val="clear" w:color="auto" w:fill="FFFFFF"/>
        </w:rPr>
        <w:t>》</w:t>
      </w:r>
    </w:p>
    <w:p w:rsidR="00AD52D5" w:rsidRDefault="00AD52D5">
      <w:pPr>
        <w:pStyle w:val="a5"/>
        <w:spacing w:beforeAutospacing="0" w:afterAutospacing="0" w:line="556" w:lineRule="exact"/>
        <w:ind w:firstLineChars="200" w:firstLine="640"/>
        <w:jc w:val="both"/>
        <w:rPr>
          <w:rFonts w:ascii="Times New Roman" w:eastAsia="仿宋_GB2312" w:hAnsi="Times New Roman"/>
          <w:sz w:val="32"/>
          <w:szCs w:val="32"/>
          <w:shd w:val="clear" w:color="auto" w:fill="FFFFFF"/>
        </w:rPr>
      </w:pPr>
    </w:p>
    <w:p w:rsidR="00AD52D5" w:rsidRDefault="00CD76F4">
      <w:pPr>
        <w:pStyle w:val="a5"/>
        <w:spacing w:beforeAutospacing="0" w:afterAutospacing="0" w:line="556"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联系人：市工信</w:t>
      </w:r>
      <w:r>
        <w:rPr>
          <w:rFonts w:ascii="Times New Roman" w:eastAsia="仿宋_GB2312" w:hAnsi="Times New Roman"/>
          <w:sz w:val="32"/>
          <w:szCs w:val="32"/>
          <w:shd w:val="clear" w:color="auto" w:fill="FFFFFF"/>
        </w:rPr>
        <w:t>局</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吴</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锐</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0916-2626</w:t>
      </w:r>
      <w:r>
        <w:rPr>
          <w:rFonts w:ascii="Times New Roman" w:eastAsia="仿宋_GB2312" w:hAnsi="Times New Roman"/>
          <w:sz w:val="32"/>
          <w:szCs w:val="32"/>
          <w:shd w:val="clear" w:color="auto" w:fill="FFFFFF"/>
        </w:rPr>
        <w:t>379</w:t>
      </w:r>
    </w:p>
    <w:p w:rsidR="00AD52D5" w:rsidRDefault="00AD52D5">
      <w:pPr>
        <w:pStyle w:val="a5"/>
        <w:spacing w:beforeAutospacing="0" w:afterAutospacing="0" w:line="556" w:lineRule="exact"/>
        <w:ind w:firstLineChars="600" w:firstLine="1920"/>
        <w:jc w:val="both"/>
        <w:rPr>
          <w:rFonts w:ascii="Times New Roman" w:eastAsia="仿宋_GB2312" w:hAnsi="Times New Roman"/>
          <w:sz w:val="32"/>
          <w:szCs w:val="32"/>
          <w:shd w:val="clear" w:color="auto" w:fill="FFFFFF"/>
        </w:rPr>
      </w:pPr>
    </w:p>
    <w:p w:rsidR="00AD52D5" w:rsidRDefault="00AD52D5">
      <w:pPr>
        <w:pStyle w:val="a5"/>
        <w:spacing w:beforeAutospacing="0" w:afterAutospacing="0" w:line="556" w:lineRule="exact"/>
        <w:ind w:firstLineChars="600" w:firstLine="1920"/>
        <w:jc w:val="both"/>
        <w:rPr>
          <w:rFonts w:ascii="Times New Roman" w:eastAsia="仿宋_GB2312" w:hAnsi="Times New Roman"/>
          <w:sz w:val="32"/>
          <w:szCs w:val="32"/>
          <w:shd w:val="clear" w:color="auto" w:fill="FFFFFF"/>
        </w:rPr>
      </w:pPr>
    </w:p>
    <w:p w:rsidR="00AD52D5" w:rsidRDefault="00CD76F4">
      <w:pPr>
        <w:pStyle w:val="a5"/>
        <w:spacing w:beforeAutospacing="0" w:afterAutospacing="0" w:line="556" w:lineRule="exact"/>
        <w:ind w:left="2940" w:firstLine="420"/>
        <w:jc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汉中市工业和信息化</w:t>
      </w:r>
      <w:r>
        <w:rPr>
          <w:rFonts w:ascii="Times New Roman" w:eastAsia="仿宋_GB2312" w:hAnsi="Times New Roman"/>
          <w:sz w:val="32"/>
          <w:szCs w:val="32"/>
          <w:shd w:val="clear" w:color="auto" w:fill="FFFFFF"/>
        </w:rPr>
        <w:t>局</w:t>
      </w:r>
    </w:p>
    <w:p w:rsidR="00AD52D5" w:rsidRDefault="00CD76F4">
      <w:pPr>
        <w:pStyle w:val="a5"/>
        <w:spacing w:beforeAutospacing="0" w:afterAutospacing="0" w:line="556" w:lineRule="exact"/>
        <w:ind w:left="2940" w:firstLine="420"/>
        <w:jc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2021</w:t>
      </w:r>
      <w:r>
        <w:rPr>
          <w:rFonts w:ascii="Times New Roman" w:eastAsia="仿宋_GB2312" w:hAnsi="Times New Roman"/>
          <w:sz w:val="32"/>
          <w:szCs w:val="32"/>
          <w:shd w:val="clear" w:color="auto" w:fill="FFFFFF"/>
        </w:rPr>
        <w:t>年</w:t>
      </w:r>
      <w:r>
        <w:rPr>
          <w:rFonts w:ascii="Times New Roman" w:eastAsia="仿宋_GB2312" w:hAnsi="Times New Roman"/>
          <w:sz w:val="32"/>
          <w:szCs w:val="32"/>
          <w:shd w:val="clear" w:color="auto" w:fill="FFFFFF"/>
        </w:rPr>
        <w:t>8</w:t>
      </w:r>
      <w:r>
        <w:rPr>
          <w:rFonts w:ascii="Times New Roman" w:eastAsia="仿宋_GB2312" w:hAnsi="Times New Roman"/>
          <w:sz w:val="32"/>
          <w:szCs w:val="32"/>
          <w:shd w:val="clear" w:color="auto" w:fill="FFFFFF"/>
        </w:rPr>
        <w:t>月</w:t>
      </w:r>
      <w:r>
        <w:rPr>
          <w:rFonts w:ascii="Times New Roman" w:eastAsia="仿宋_GB2312" w:hAnsi="Times New Roman"/>
          <w:sz w:val="32"/>
          <w:szCs w:val="32"/>
          <w:shd w:val="clear" w:color="auto" w:fill="FFFFFF"/>
        </w:rPr>
        <w:t>17</w:t>
      </w:r>
      <w:r>
        <w:rPr>
          <w:rFonts w:ascii="Times New Roman" w:eastAsia="仿宋_GB2312" w:hAnsi="Times New Roman"/>
          <w:sz w:val="32"/>
          <w:szCs w:val="32"/>
          <w:shd w:val="clear" w:color="auto" w:fill="FFFFFF"/>
        </w:rPr>
        <w:t>日</w:t>
      </w:r>
    </w:p>
    <w:p w:rsidR="00AD52D5" w:rsidRDefault="00AD52D5">
      <w:pPr>
        <w:pStyle w:val="a5"/>
        <w:spacing w:beforeAutospacing="0" w:afterAutospacing="0" w:line="556" w:lineRule="exact"/>
        <w:ind w:left="2940" w:firstLine="420"/>
        <w:jc w:val="center"/>
        <w:rPr>
          <w:rFonts w:ascii="Times New Roman" w:eastAsia="仿宋_GB2312" w:hAnsi="Times New Roman"/>
          <w:sz w:val="32"/>
          <w:szCs w:val="32"/>
          <w:shd w:val="clear" w:color="auto" w:fill="FFFFFF"/>
        </w:rPr>
      </w:pPr>
    </w:p>
    <w:p w:rsidR="00AD52D5" w:rsidRDefault="00AD52D5">
      <w:pPr>
        <w:pStyle w:val="a5"/>
        <w:spacing w:beforeAutospacing="0" w:afterAutospacing="0" w:line="556" w:lineRule="exact"/>
        <w:ind w:left="2940" w:firstLine="420"/>
        <w:jc w:val="center"/>
        <w:rPr>
          <w:rFonts w:ascii="Times New Roman" w:eastAsia="仿宋_GB2312" w:hAnsi="Times New Roman"/>
          <w:sz w:val="32"/>
          <w:szCs w:val="32"/>
          <w:shd w:val="clear" w:color="auto" w:fill="FFFFFF"/>
        </w:rPr>
      </w:pPr>
    </w:p>
    <w:p w:rsidR="00AD52D5" w:rsidRDefault="00AD52D5">
      <w:pPr>
        <w:pStyle w:val="a5"/>
        <w:spacing w:beforeAutospacing="0" w:afterAutospacing="0" w:line="556" w:lineRule="exact"/>
        <w:jc w:val="both"/>
        <w:rPr>
          <w:rFonts w:ascii="Times New Roman" w:eastAsia="仿宋_GB2312" w:hAnsi="Times New Roman"/>
          <w:sz w:val="28"/>
          <w:szCs w:val="28"/>
          <w:shd w:val="clear" w:color="auto" w:fill="FFFFFF"/>
        </w:rPr>
      </w:pPr>
    </w:p>
    <w:p w:rsidR="00AD52D5" w:rsidRDefault="00AD52D5">
      <w:pPr>
        <w:pStyle w:val="a5"/>
        <w:spacing w:beforeAutospacing="0" w:afterAutospacing="0" w:line="556" w:lineRule="exact"/>
        <w:jc w:val="both"/>
        <w:rPr>
          <w:rFonts w:ascii="Times New Roman" w:eastAsia="仿宋_GB2312" w:hAnsi="Times New Roman"/>
          <w:sz w:val="28"/>
          <w:szCs w:val="28"/>
          <w:shd w:val="clear" w:color="auto" w:fill="FFFFFF"/>
        </w:rPr>
      </w:pPr>
    </w:p>
    <w:p w:rsidR="00AD52D5" w:rsidRDefault="00AD52D5">
      <w:pPr>
        <w:pStyle w:val="a5"/>
        <w:spacing w:beforeAutospacing="0" w:afterAutospacing="0" w:line="556" w:lineRule="exact"/>
        <w:jc w:val="both"/>
        <w:rPr>
          <w:rFonts w:ascii="Times New Roman" w:eastAsia="仿宋_GB2312" w:hAnsi="Times New Roman"/>
          <w:sz w:val="28"/>
          <w:szCs w:val="28"/>
          <w:shd w:val="clear" w:color="auto" w:fill="FFFFFF"/>
        </w:rPr>
      </w:pPr>
    </w:p>
    <w:p w:rsidR="00AD52D5" w:rsidRDefault="00AD52D5">
      <w:pPr>
        <w:pStyle w:val="a5"/>
        <w:spacing w:beforeAutospacing="0" w:afterAutospacing="0" w:line="556" w:lineRule="exact"/>
        <w:jc w:val="both"/>
        <w:rPr>
          <w:rFonts w:ascii="Times New Roman" w:eastAsia="仿宋_GB2312" w:hAnsi="Times New Roman"/>
          <w:sz w:val="28"/>
          <w:szCs w:val="28"/>
          <w:shd w:val="clear" w:color="auto" w:fill="FFFFFF"/>
        </w:rPr>
      </w:pPr>
    </w:p>
    <w:p w:rsidR="00AD52D5" w:rsidRDefault="00AD52D5">
      <w:pPr>
        <w:pStyle w:val="a5"/>
        <w:spacing w:beforeAutospacing="0" w:afterAutospacing="0" w:line="556" w:lineRule="exact"/>
        <w:jc w:val="both"/>
        <w:rPr>
          <w:rFonts w:ascii="Times New Roman" w:eastAsia="仿宋_GB2312" w:hAnsi="Times New Roman"/>
          <w:sz w:val="28"/>
          <w:szCs w:val="28"/>
          <w:shd w:val="clear" w:color="auto" w:fill="FFFFFF"/>
        </w:rPr>
      </w:pPr>
    </w:p>
    <w:p w:rsidR="00AD52D5" w:rsidRDefault="00AD52D5">
      <w:pPr>
        <w:pStyle w:val="a5"/>
        <w:spacing w:beforeAutospacing="0" w:afterAutospacing="0" w:line="556" w:lineRule="exact"/>
        <w:jc w:val="both"/>
        <w:rPr>
          <w:rFonts w:ascii="Times New Roman" w:eastAsia="仿宋_GB2312" w:hAnsi="Times New Roman"/>
          <w:sz w:val="28"/>
          <w:szCs w:val="28"/>
          <w:shd w:val="clear" w:color="auto" w:fill="FFFFFF"/>
        </w:rPr>
      </w:pPr>
    </w:p>
    <w:p w:rsidR="00AD52D5" w:rsidRDefault="00AD52D5">
      <w:pPr>
        <w:pStyle w:val="a5"/>
        <w:spacing w:beforeAutospacing="0" w:afterAutospacing="0" w:line="556" w:lineRule="exact"/>
        <w:jc w:val="both"/>
        <w:rPr>
          <w:rFonts w:ascii="Times New Roman" w:eastAsia="仿宋_GB2312" w:hAnsi="Times New Roman"/>
          <w:sz w:val="28"/>
          <w:szCs w:val="28"/>
          <w:shd w:val="clear" w:color="auto" w:fill="FFFFFF"/>
        </w:rPr>
        <w:sectPr w:rsidR="00AD52D5">
          <w:footerReference w:type="default" r:id="rId7"/>
          <w:pgSz w:w="11906" w:h="16838"/>
          <w:pgMar w:top="1701" w:right="1474" w:bottom="1587" w:left="1474" w:header="851" w:footer="1134" w:gutter="0"/>
          <w:cols w:space="0"/>
          <w:docGrid w:type="lines" w:linePitch="312"/>
        </w:sectPr>
      </w:pPr>
    </w:p>
    <w:p w:rsidR="00AD52D5" w:rsidRDefault="00CD76F4" w:rsidP="004B332D">
      <w:pPr>
        <w:pStyle w:val="a5"/>
        <w:spacing w:beforeAutospacing="0" w:afterLines="100" w:afterAutospacing="0" w:line="556" w:lineRule="exact"/>
        <w:jc w:val="center"/>
        <w:rPr>
          <w:rFonts w:ascii="Times New Roman" w:eastAsia="方正小标宋_GBK" w:hAnsi="Times New Roman"/>
          <w:sz w:val="44"/>
          <w:szCs w:val="44"/>
        </w:rPr>
      </w:pPr>
      <w:r>
        <w:rPr>
          <w:rFonts w:ascii="Times New Roman" w:eastAsia="方正小标宋_GBK" w:hAnsi="Times New Roman"/>
          <w:sz w:val="44"/>
          <w:szCs w:val="44"/>
        </w:rPr>
        <w:lastRenderedPageBreak/>
        <w:t>汉中市涉企保证金目录清单</w:t>
      </w:r>
    </w:p>
    <w:tbl>
      <w:tblPr>
        <w:tblW w:w="14959" w:type="dxa"/>
        <w:jc w:val="center"/>
        <w:tblLayout w:type="fixed"/>
        <w:tblCellMar>
          <w:top w:w="57" w:type="dxa"/>
          <w:left w:w="57" w:type="dxa"/>
          <w:bottom w:w="57" w:type="dxa"/>
          <w:right w:w="57" w:type="dxa"/>
        </w:tblCellMar>
        <w:tblLook w:val="04A0"/>
      </w:tblPr>
      <w:tblGrid>
        <w:gridCol w:w="396"/>
        <w:gridCol w:w="967"/>
        <w:gridCol w:w="800"/>
        <w:gridCol w:w="2397"/>
        <w:gridCol w:w="3103"/>
        <w:gridCol w:w="3445"/>
        <w:gridCol w:w="3851"/>
      </w:tblGrid>
      <w:tr w:rsidR="00AD52D5">
        <w:trPr>
          <w:trHeight w:val="567"/>
          <w:tblHeader/>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序号</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jc w:val="center"/>
              <w:textAlignment w:val="center"/>
              <w:rPr>
                <w:rFonts w:ascii="宋体" w:eastAsia="宋体" w:hAnsi="宋体" w:cs="宋体"/>
                <w:b/>
                <w:bCs/>
                <w:color w:val="000000"/>
                <w:kern w:val="0"/>
                <w:sz w:val="20"/>
                <w:szCs w:val="20"/>
                <w:lang/>
              </w:rPr>
            </w:pPr>
            <w:r>
              <w:rPr>
                <w:rFonts w:ascii="宋体" w:eastAsia="宋体" w:hAnsi="宋体" w:cs="宋体" w:hint="eastAsia"/>
                <w:b/>
                <w:bCs/>
                <w:color w:val="000000"/>
                <w:kern w:val="0"/>
                <w:sz w:val="20"/>
                <w:szCs w:val="20"/>
                <w:lang/>
              </w:rPr>
              <w:t>项目</w:t>
            </w:r>
          </w:p>
          <w:p w:rsidR="00AD52D5" w:rsidRDefault="00CD76F4">
            <w:pPr>
              <w:widowControl/>
              <w:spacing w:line="24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名称</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jc w:val="center"/>
              <w:textAlignment w:val="center"/>
              <w:rPr>
                <w:rFonts w:ascii="宋体" w:eastAsia="宋体" w:hAnsi="宋体" w:cs="宋体"/>
                <w:b/>
                <w:bCs/>
                <w:color w:val="000000"/>
                <w:kern w:val="0"/>
                <w:sz w:val="20"/>
                <w:szCs w:val="20"/>
                <w:lang/>
              </w:rPr>
            </w:pPr>
            <w:r>
              <w:rPr>
                <w:rFonts w:ascii="宋体" w:eastAsia="宋体" w:hAnsi="宋体" w:cs="宋体" w:hint="eastAsia"/>
                <w:b/>
                <w:bCs/>
                <w:color w:val="000000"/>
                <w:kern w:val="0"/>
                <w:sz w:val="20"/>
                <w:szCs w:val="20"/>
                <w:lang/>
              </w:rPr>
              <w:t>设立</w:t>
            </w:r>
          </w:p>
          <w:p w:rsidR="00AD52D5" w:rsidRDefault="00CD76F4">
            <w:pPr>
              <w:widowControl/>
              <w:spacing w:line="24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单位</w:t>
            </w:r>
          </w:p>
        </w:tc>
        <w:tc>
          <w:tcPr>
            <w:tcW w:w="2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设立依据</w:t>
            </w:r>
          </w:p>
        </w:tc>
        <w:tc>
          <w:tcPr>
            <w:tcW w:w="3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征收标准</w:t>
            </w:r>
          </w:p>
        </w:tc>
        <w:tc>
          <w:tcPr>
            <w:tcW w:w="3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征收程序</w:t>
            </w:r>
          </w:p>
        </w:tc>
        <w:tc>
          <w:tcPr>
            <w:tcW w:w="3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返还时间</w:t>
            </w:r>
          </w:p>
        </w:tc>
      </w:tr>
      <w:tr w:rsidR="00AD52D5">
        <w:trPr>
          <w:trHeight w:val="1404"/>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投标保证金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交通运输部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《公路工程建设项目招标投标管理办法》（交通运输部令</w:t>
            </w:r>
            <w:r>
              <w:rPr>
                <w:rFonts w:ascii="宋体" w:eastAsia="宋体" w:hAnsi="宋体" w:cs="宋体" w:hint="eastAsia"/>
                <w:color w:val="000000"/>
                <w:kern w:val="0"/>
                <w:sz w:val="20"/>
                <w:szCs w:val="20"/>
                <w:lang/>
              </w:rPr>
              <w:t>2015</w:t>
            </w:r>
            <w:r>
              <w:rPr>
                <w:rFonts w:ascii="宋体" w:eastAsia="宋体" w:hAnsi="宋体" w:cs="宋体" w:hint="eastAsia"/>
                <w:color w:val="000000"/>
                <w:kern w:val="0"/>
                <w:sz w:val="20"/>
                <w:szCs w:val="20"/>
                <w:lang/>
              </w:rPr>
              <w:t>年第</w:t>
            </w:r>
            <w:r>
              <w:rPr>
                <w:rFonts w:ascii="宋体" w:eastAsia="宋体" w:hAnsi="宋体" w:cs="宋体" w:hint="eastAsia"/>
                <w:color w:val="000000"/>
                <w:kern w:val="0"/>
                <w:sz w:val="20"/>
                <w:szCs w:val="20"/>
                <w:lang/>
              </w:rPr>
              <w:t>24</w:t>
            </w:r>
            <w:r>
              <w:rPr>
                <w:rFonts w:ascii="宋体" w:eastAsia="宋体" w:hAnsi="宋体" w:cs="宋体" w:hint="eastAsia"/>
                <w:color w:val="000000"/>
                <w:kern w:val="0"/>
                <w:sz w:val="20"/>
                <w:szCs w:val="20"/>
                <w:lang/>
              </w:rPr>
              <w:t>号）和《公路工程标准施工招标文件》（</w:t>
            </w:r>
            <w:r>
              <w:rPr>
                <w:rFonts w:ascii="宋体" w:eastAsia="宋体" w:hAnsi="宋体" w:cs="宋体" w:hint="eastAsia"/>
                <w:color w:val="000000"/>
                <w:kern w:val="0"/>
                <w:sz w:val="20"/>
                <w:szCs w:val="20"/>
                <w:lang/>
              </w:rPr>
              <w:t>2018</w:t>
            </w:r>
            <w:r>
              <w:rPr>
                <w:rFonts w:ascii="宋体" w:eastAsia="宋体" w:hAnsi="宋体" w:cs="宋体" w:hint="eastAsia"/>
                <w:color w:val="000000"/>
                <w:kern w:val="0"/>
                <w:sz w:val="20"/>
                <w:szCs w:val="20"/>
                <w:lang/>
              </w:rPr>
              <w:t>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不得超过招标标段估算价的</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投标人在递交投标文件的同时，应自主选择现金、支票、银行保函等任一招标文件约定形式向招标人缴纳投标保证金。</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招标人最迟应在中标通知书发出后</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日内向中标候选以外的其他投标人退还，与中标人签订合同后</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日内向中标人和其他中标候选人退还。</w:t>
            </w:r>
          </w:p>
        </w:tc>
      </w:tr>
      <w:tr w:rsidR="00AD52D5">
        <w:trPr>
          <w:trHeight w:val="567"/>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履约保证金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交通运输部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《公路工程建设项目招标投标管理办法》（交通运输部令</w:t>
            </w:r>
            <w:r>
              <w:rPr>
                <w:rFonts w:ascii="宋体" w:eastAsia="宋体" w:hAnsi="宋体" w:cs="宋体" w:hint="eastAsia"/>
                <w:color w:val="000000"/>
                <w:kern w:val="0"/>
                <w:sz w:val="20"/>
                <w:szCs w:val="20"/>
                <w:lang/>
              </w:rPr>
              <w:t>2015</w:t>
            </w:r>
            <w:r>
              <w:rPr>
                <w:rFonts w:ascii="宋体" w:eastAsia="宋体" w:hAnsi="宋体" w:cs="宋体" w:hint="eastAsia"/>
                <w:color w:val="000000"/>
                <w:kern w:val="0"/>
                <w:sz w:val="20"/>
                <w:szCs w:val="20"/>
                <w:lang/>
              </w:rPr>
              <w:t>年第</w:t>
            </w:r>
            <w:r>
              <w:rPr>
                <w:rFonts w:ascii="宋体" w:eastAsia="宋体" w:hAnsi="宋体" w:cs="宋体" w:hint="eastAsia"/>
                <w:color w:val="000000"/>
                <w:kern w:val="0"/>
                <w:sz w:val="20"/>
                <w:szCs w:val="20"/>
                <w:lang/>
              </w:rPr>
              <w:t>24</w:t>
            </w:r>
            <w:r>
              <w:rPr>
                <w:rFonts w:ascii="宋体" w:eastAsia="宋体" w:hAnsi="宋体" w:cs="宋体" w:hint="eastAsia"/>
                <w:color w:val="000000"/>
                <w:kern w:val="0"/>
                <w:sz w:val="20"/>
                <w:szCs w:val="20"/>
                <w:lang/>
              </w:rPr>
              <w:t>号）和《公路工程标准施工招标文件》（</w:t>
            </w:r>
            <w:r>
              <w:rPr>
                <w:rFonts w:ascii="宋体" w:eastAsia="宋体" w:hAnsi="宋体" w:cs="宋体" w:hint="eastAsia"/>
                <w:color w:val="000000"/>
                <w:kern w:val="0"/>
                <w:sz w:val="20"/>
                <w:szCs w:val="20"/>
                <w:lang/>
              </w:rPr>
              <w:t>2018</w:t>
            </w:r>
            <w:r>
              <w:rPr>
                <w:rFonts w:ascii="宋体" w:eastAsia="宋体" w:hAnsi="宋体" w:cs="宋体" w:hint="eastAsia"/>
                <w:color w:val="000000"/>
                <w:kern w:val="0"/>
                <w:sz w:val="20"/>
                <w:szCs w:val="20"/>
                <w:lang/>
              </w:rPr>
              <w:t>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不得超过中标合同金额的</w:t>
            </w:r>
            <w:r>
              <w:rPr>
                <w:rFonts w:ascii="宋体" w:eastAsia="宋体" w:hAnsi="宋体" w:cs="宋体" w:hint="eastAsia"/>
                <w:color w:val="000000"/>
                <w:kern w:val="0"/>
                <w:sz w:val="20"/>
                <w:szCs w:val="20"/>
                <w:lang/>
              </w:rPr>
              <w:t>10%</w:t>
            </w:r>
            <w:r>
              <w:rPr>
                <w:rFonts w:ascii="宋体" w:eastAsia="宋体" w:hAnsi="宋体" w:cs="宋体" w:hint="eastAsia"/>
                <w:color w:val="000000"/>
                <w:kern w:val="0"/>
                <w:sz w:val="20"/>
                <w:szCs w:val="20"/>
                <w:lang/>
              </w:rPr>
              <w:t>。</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签订合同前，中标人应自主选择银行保函、现金、支票等招标文件约定形式向招标人提交履约保证金。</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发包人在收到承包人缴纳的质量保障金</w:t>
            </w:r>
            <w:r>
              <w:rPr>
                <w:rFonts w:ascii="宋体" w:eastAsia="宋体" w:hAnsi="宋体" w:cs="宋体" w:hint="eastAsia"/>
                <w:color w:val="000000"/>
                <w:kern w:val="0"/>
                <w:sz w:val="20"/>
                <w:szCs w:val="20"/>
                <w:lang/>
              </w:rPr>
              <w:t>28</w:t>
            </w:r>
            <w:r>
              <w:rPr>
                <w:rFonts w:ascii="宋体" w:eastAsia="宋体" w:hAnsi="宋体" w:cs="宋体" w:hint="eastAsia"/>
                <w:color w:val="000000"/>
                <w:kern w:val="0"/>
                <w:sz w:val="20"/>
                <w:szCs w:val="20"/>
                <w:lang/>
              </w:rPr>
              <w:t>天内将履约保证金退还给承包人。</w:t>
            </w:r>
          </w:p>
        </w:tc>
      </w:tr>
      <w:tr w:rsidR="00AD52D5">
        <w:trPr>
          <w:trHeight w:val="1764"/>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质量保障金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交通运输部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《公路工程标准施工招标文件》（</w:t>
            </w:r>
            <w:r>
              <w:rPr>
                <w:rFonts w:ascii="宋体" w:eastAsia="宋体" w:hAnsi="宋体" w:cs="宋体" w:hint="eastAsia"/>
                <w:color w:val="000000"/>
                <w:kern w:val="0"/>
                <w:sz w:val="20"/>
                <w:szCs w:val="20"/>
                <w:lang/>
              </w:rPr>
              <w:t>2018</w:t>
            </w:r>
            <w:r>
              <w:rPr>
                <w:rFonts w:ascii="宋体" w:eastAsia="宋体" w:hAnsi="宋体" w:cs="宋体" w:hint="eastAsia"/>
                <w:color w:val="000000"/>
                <w:kern w:val="0"/>
                <w:sz w:val="20"/>
                <w:szCs w:val="20"/>
                <w:lang/>
              </w:rPr>
              <w:t>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不得超过合同价格的</w:t>
            </w:r>
            <w:r>
              <w:rPr>
                <w:rFonts w:ascii="宋体" w:eastAsia="宋体" w:hAnsi="宋体" w:cs="宋体" w:hint="eastAsia"/>
                <w:color w:val="000000"/>
                <w:kern w:val="0"/>
                <w:sz w:val="20"/>
                <w:szCs w:val="20"/>
                <w:lang/>
              </w:rPr>
              <w:t>3%</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监理人应从第一个付款周期开始，在发包人的进度付款中，按合同文件专用条款的约定扣留质量保证金，直至扣留的总额达到合同文件专用条款约定的金额或比例为止。</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缺陷责任期满时，发包人应于收到承包人到期应返还剩余质量保障金申请</w:t>
            </w:r>
            <w:r>
              <w:rPr>
                <w:rFonts w:ascii="宋体" w:eastAsia="宋体" w:hAnsi="宋体" w:cs="宋体" w:hint="eastAsia"/>
                <w:color w:val="000000"/>
                <w:kern w:val="0"/>
                <w:sz w:val="20"/>
                <w:szCs w:val="20"/>
                <w:lang/>
              </w:rPr>
              <w:t>14</w:t>
            </w:r>
            <w:r>
              <w:rPr>
                <w:rFonts w:ascii="宋体" w:eastAsia="宋体" w:hAnsi="宋体" w:cs="宋体" w:hint="eastAsia"/>
                <w:color w:val="000000"/>
                <w:kern w:val="0"/>
                <w:sz w:val="20"/>
                <w:szCs w:val="20"/>
                <w:lang/>
              </w:rPr>
              <w:t>天内，会同承包人按照合同约定的内容核实承包人是否完成缺陷责任，如无异议，发包人应当在核实后将剩余保障金返还承包人。</w:t>
            </w:r>
          </w:p>
        </w:tc>
      </w:tr>
      <w:tr w:rsidR="00AD52D5">
        <w:trPr>
          <w:trHeight w:val="2207"/>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农民工工资保证金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陕西省交通运输厅、陕西省人资源和社会保障厅</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关于印发《陕西省交通建设项目农民工工资支付</w:t>
            </w:r>
          </w:p>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管理办法》</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试行</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等三个办法的通知</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陕交发</w:t>
            </w:r>
            <w:r>
              <w:rPr>
                <w:rFonts w:ascii="宋体" w:eastAsia="宋体" w:hAnsi="宋体" w:cs="宋体" w:hint="eastAsia"/>
                <w:color w:val="000000"/>
                <w:kern w:val="0"/>
                <w:sz w:val="20"/>
                <w:szCs w:val="20"/>
                <w:lang/>
              </w:rPr>
              <w:t>2019</w:t>
            </w:r>
            <w:r>
              <w:rPr>
                <w:rFonts w:ascii="宋体" w:eastAsia="宋体" w:hAnsi="宋体" w:cs="宋体" w:hint="eastAsia"/>
                <w:color w:val="000000"/>
                <w:kern w:val="0"/>
                <w:sz w:val="20"/>
                <w:szCs w:val="20"/>
                <w:lang/>
              </w:rPr>
              <w:t>年</w:t>
            </w:r>
            <w:r>
              <w:rPr>
                <w:rFonts w:ascii="宋体" w:eastAsia="宋体" w:hAnsi="宋体" w:cs="宋体" w:hint="eastAsia"/>
                <w:color w:val="000000"/>
                <w:kern w:val="0"/>
                <w:sz w:val="20"/>
                <w:szCs w:val="20"/>
                <w:lang/>
              </w:rPr>
              <w:t>23</w:t>
            </w:r>
            <w:r>
              <w:rPr>
                <w:rFonts w:ascii="宋体" w:eastAsia="宋体" w:hAnsi="宋体" w:cs="宋体" w:hint="eastAsia"/>
                <w:color w:val="000000"/>
                <w:kern w:val="0"/>
                <w:sz w:val="20"/>
                <w:szCs w:val="20"/>
                <w:lang/>
              </w:rPr>
              <w:t>号</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建设项目工程量清单各章节总额的</w:t>
            </w:r>
            <w:r>
              <w:rPr>
                <w:rFonts w:ascii="宋体" w:eastAsia="宋体" w:hAnsi="宋体" w:cs="宋体" w:hint="eastAsia"/>
                <w:color w:val="000000"/>
                <w:kern w:val="0"/>
                <w:sz w:val="20"/>
                <w:szCs w:val="20"/>
                <w:lang/>
              </w:rPr>
              <w:t>0.5%-3%</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交通建设项目农民工工资保证金由建设单位在施工企业每期计量支付时进行扣除。建设单位可根据不同施工企业的信用评价情况，差异化确定农民工工资保证金扣除比例。农民工工资保证金应由建设单位统一管理，专户存储，建立台账，任何单位和个人不得挪用。</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建设单位结合工程进度和施工企业农民工工资支付管理情况</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每年或交工验收后将未发生农民工工资拖欠的施工企业的农民工工资保证金按比例予以返还。建设项目交工</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初步</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验收后</w:t>
            </w:r>
            <w:r>
              <w:rPr>
                <w:rFonts w:ascii="宋体" w:eastAsia="宋体" w:hAnsi="宋体" w:cs="宋体" w:hint="eastAsia"/>
                <w:color w:val="000000"/>
                <w:kern w:val="0"/>
                <w:sz w:val="20"/>
                <w:szCs w:val="20"/>
                <w:lang/>
              </w:rPr>
              <w:t>30</w:t>
            </w:r>
            <w:r>
              <w:rPr>
                <w:rFonts w:ascii="宋体" w:eastAsia="宋体" w:hAnsi="宋体" w:cs="宋体" w:hint="eastAsia"/>
                <w:color w:val="000000"/>
                <w:kern w:val="0"/>
                <w:sz w:val="20"/>
                <w:szCs w:val="20"/>
                <w:lang/>
              </w:rPr>
              <w:t>日内，施工企业应对本标段农民工工资支付情况进行公示，经公示无异议后，建设单位返还最后一笔农民工工资保证金。</w:t>
            </w:r>
          </w:p>
        </w:tc>
      </w:tr>
      <w:tr w:rsidR="00AD52D5">
        <w:trPr>
          <w:trHeight w:val="567"/>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5</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直销企业保证金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商务部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《直销管理条例》《直销企业保证金存缴、使用管理办法》（商务部、工商行政管理总局令</w:t>
            </w:r>
            <w:r>
              <w:rPr>
                <w:rFonts w:ascii="宋体" w:eastAsia="宋体" w:hAnsi="宋体" w:cs="宋体" w:hint="eastAsia"/>
                <w:color w:val="000000"/>
                <w:kern w:val="0"/>
                <w:sz w:val="20"/>
                <w:szCs w:val="20"/>
                <w:lang/>
              </w:rPr>
              <w:t>2005</w:t>
            </w:r>
            <w:r>
              <w:rPr>
                <w:rFonts w:ascii="宋体" w:eastAsia="宋体" w:hAnsi="宋体" w:cs="宋体" w:hint="eastAsia"/>
                <w:color w:val="000000"/>
                <w:kern w:val="0"/>
                <w:sz w:val="20"/>
                <w:szCs w:val="20"/>
                <w:lang/>
              </w:rPr>
              <w:t>年第</w:t>
            </w:r>
            <w:r>
              <w:rPr>
                <w:rFonts w:ascii="宋体" w:eastAsia="宋体" w:hAnsi="宋体" w:cs="宋体" w:hint="eastAsia"/>
                <w:color w:val="000000"/>
                <w:kern w:val="0"/>
                <w:sz w:val="20"/>
                <w:szCs w:val="20"/>
                <w:lang/>
              </w:rPr>
              <w:t>22</w:t>
            </w:r>
            <w:r>
              <w:rPr>
                <w:rFonts w:ascii="宋体" w:eastAsia="宋体" w:hAnsi="宋体" w:cs="宋体" w:hint="eastAsia"/>
                <w:color w:val="000000"/>
                <w:kern w:val="0"/>
                <w:sz w:val="20"/>
                <w:szCs w:val="20"/>
                <w:lang/>
              </w:rPr>
              <w:t>号）</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保证金的数额在直销企业设立时为人民币</w:t>
            </w:r>
            <w:r>
              <w:rPr>
                <w:rFonts w:ascii="宋体" w:eastAsia="宋体" w:hAnsi="宋体" w:cs="宋体" w:hint="eastAsia"/>
                <w:color w:val="000000"/>
                <w:kern w:val="0"/>
                <w:sz w:val="20"/>
                <w:szCs w:val="20"/>
                <w:lang/>
              </w:rPr>
              <w:t>2000</w:t>
            </w:r>
            <w:r>
              <w:rPr>
                <w:rFonts w:ascii="宋体" w:eastAsia="宋体" w:hAnsi="宋体" w:cs="宋体" w:hint="eastAsia"/>
                <w:color w:val="000000"/>
                <w:kern w:val="0"/>
                <w:sz w:val="20"/>
                <w:szCs w:val="20"/>
                <w:lang/>
              </w:rPr>
              <w:t>万元；直销企业运营后，保证金应当按月进行调整，其数额应当保持在直销企业上一个月直销产品销售收入</w:t>
            </w:r>
            <w:r>
              <w:rPr>
                <w:rFonts w:ascii="宋体" w:eastAsia="宋体" w:hAnsi="宋体" w:cs="宋体" w:hint="eastAsia"/>
                <w:color w:val="000000"/>
                <w:kern w:val="0"/>
                <w:sz w:val="20"/>
                <w:szCs w:val="20"/>
                <w:lang/>
              </w:rPr>
              <w:t>15%</w:t>
            </w:r>
            <w:r>
              <w:rPr>
                <w:rFonts w:ascii="宋体" w:eastAsia="宋体" w:hAnsi="宋体" w:cs="宋体" w:hint="eastAsia"/>
                <w:color w:val="000000"/>
                <w:kern w:val="0"/>
                <w:sz w:val="20"/>
                <w:szCs w:val="20"/>
                <w:lang/>
              </w:rPr>
              <w:t>的水平，但最高不超过人民币</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亿元，最低不少于人民币</w:t>
            </w:r>
            <w:r>
              <w:rPr>
                <w:rFonts w:ascii="宋体" w:eastAsia="宋体" w:hAnsi="宋体" w:cs="宋体" w:hint="eastAsia"/>
                <w:color w:val="000000"/>
                <w:kern w:val="0"/>
                <w:sz w:val="20"/>
                <w:szCs w:val="20"/>
                <w:lang/>
              </w:rPr>
              <w:t>2000</w:t>
            </w:r>
            <w:r>
              <w:rPr>
                <w:rFonts w:ascii="宋体" w:eastAsia="宋体" w:hAnsi="宋体" w:cs="宋体" w:hint="eastAsia"/>
                <w:color w:val="000000"/>
                <w:kern w:val="0"/>
                <w:sz w:val="20"/>
                <w:szCs w:val="20"/>
                <w:lang/>
              </w:rPr>
              <w:t>万元。</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pacing w:val="-6"/>
                <w:kern w:val="0"/>
                <w:sz w:val="20"/>
                <w:szCs w:val="20"/>
                <w:lang/>
              </w:rPr>
              <w:t>申请开展直销业务前，企业需要在国务院商务主管部门和国务院工商行政管理部门共同指定的银行开设专门账户并存入保证金。开始从事直销经营活动</w:t>
            </w:r>
            <w:r>
              <w:rPr>
                <w:rFonts w:ascii="宋体" w:eastAsia="宋体" w:hAnsi="宋体" w:cs="宋体" w:hint="eastAsia"/>
                <w:color w:val="000000"/>
                <w:spacing w:val="-6"/>
                <w:kern w:val="0"/>
                <w:sz w:val="20"/>
                <w:szCs w:val="20"/>
                <w:lang/>
              </w:rPr>
              <w:t>3</w:t>
            </w:r>
            <w:r>
              <w:rPr>
                <w:rFonts w:ascii="宋体" w:eastAsia="宋体" w:hAnsi="宋体" w:cs="宋体" w:hint="eastAsia"/>
                <w:color w:val="000000"/>
                <w:spacing w:val="-6"/>
                <w:kern w:val="0"/>
                <w:sz w:val="20"/>
                <w:szCs w:val="20"/>
                <w:lang/>
              </w:rPr>
              <w:t>个月后，于次月</w:t>
            </w:r>
            <w:r>
              <w:rPr>
                <w:rFonts w:ascii="宋体" w:eastAsia="宋体" w:hAnsi="宋体" w:cs="宋体" w:hint="eastAsia"/>
                <w:color w:val="000000"/>
                <w:spacing w:val="-6"/>
                <w:kern w:val="0"/>
                <w:sz w:val="20"/>
                <w:szCs w:val="20"/>
                <w:lang/>
              </w:rPr>
              <w:t>15</w:t>
            </w:r>
            <w:r>
              <w:rPr>
                <w:rFonts w:ascii="宋体" w:eastAsia="宋体" w:hAnsi="宋体" w:cs="宋体" w:hint="eastAsia"/>
                <w:color w:val="000000"/>
                <w:spacing w:val="-6"/>
                <w:kern w:val="0"/>
                <w:sz w:val="20"/>
                <w:szCs w:val="20"/>
                <w:lang/>
              </w:rPr>
              <w:t>日前向指定银行出具其上月销售额的有效证明文件，并通过直销行业管理网站向商务部和工商总局备案，需要调增保证金金额的，于此后</w:t>
            </w:r>
            <w:r>
              <w:rPr>
                <w:rFonts w:ascii="宋体" w:eastAsia="宋体" w:hAnsi="宋体" w:cs="宋体" w:hint="eastAsia"/>
                <w:color w:val="000000"/>
                <w:spacing w:val="-6"/>
                <w:kern w:val="0"/>
                <w:sz w:val="20"/>
                <w:szCs w:val="20"/>
                <w:lang/>
              </w:rPr>
              <w:t>5</w:t>
            </w:r>
            <w:r>
              <w:rPr>
                <w:rFonts w:ascii="宋体" w:eastAsia="宋体" w:hAnsi="宋体" w:cs="宋体" w:hint="eastAsia"/>
                <w:color w:val="000000"/>
                <w:spacing w:val="-6"/>
                <w:kern w:val="0"/>
                <w:sz w:val="20"/>
                <w:szCs w:val="20"/>
                <w:lang/>
              </w:rPr>
              <w:t>日内将款项划转到其指定银行保</w:t>
            </w:r>
            <w:r>
              <w:rPr>
                <w:rFonts w:ascii="宋体" w:eastAsia="宋体" w:hAnsi="宋体" w:cs="宋体" w:hint="eastAsia"/>
                <w:color w:val="000000"/>
                <w:spacing w:val="-6"/>
                <w:kern w:val="0"/>
                <w:sz w:val="20"/>
                <w:szCs w:val="20"/>
                <w:lang/>
              </w:rPr>
              <w:t>证金账户，需要调减保证金金额的，按企业与指定银行签订的协议办理。</w:t>
            </w:r>
          </w:p>
        </w:tc>
        <w:tc>
          <w:tcPr>
            <w:tcW w:w="3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企业申请直销业务未获批准的，凭商务部出具的书面凭证，可以向指定银行取回保证金。直销企业不再从事直销活动的，凭商务部和工商总局出具的书面凭证，可以向指定银行取回保证金。</w:t>
            </w:r>
          </w:p>
        </w:tc>
      </w:tr>
      <w:tr w:rsidR="00AD52D5">
        <w:trPr>
          <w:trHeight w:val="567"/>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储备肉糖收储投放交易投标履约</w:t>
            </w:r>
          </w:p>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商务部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《中华人民共和国招标投标法实施条例》</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目前储备冻肉竞价交易保证金按照</w:t>
            </w:r>
            <w:r>
              <w:rPr>
                <w:rFonts w:ascii="宋体" w:eastAsia="宋体" w:hAnsi="宋体" w:cs="宋体" w:hint="eastAsia"/>
                <w:color w:val="000000"/>
                <w:kern w:val="0"/>
                <w:sz w:val="20"/>
                <w:szCs w:val="20"/>
                <w:lang/>
              </w:rPr>
              <w:t>1000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吨执行，储备糖竞价交易保证金按照</w:t>
            </w:r>
            <w:r>
              <w:rPr>
                <w:rFonts w:ascii="宋体" w:eastAsia="宋体" w:hAnsi="宋体" w:cs="宋体" w:hint="eastAsia"/>
                <w:color w:val="000000"/>
                <w:kern w:val="0"/>
                <w:sz w:val="20"/>
                <w:szCs w:val="20"/>
                <w:lang/>
              </w:rPr>
              <w:t>500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吨执行，且符合履约保证金不超过合同金额</w:t>
            </w:r>
            <w:r>
              <w:rPr>
                <w:rFonts w:ascii="宋体" w:eastAsia="宋体" w:hAnsi="宋体" w:cs="宋体" w:hint="eastAsia"/>
                <w:color w:val="000000"/>
                <w:kern w:val="0"/>
                <w:sz w:val="20"/>
                <w:szCs w:val="20"/>
                <w:lang/>
              </w:rPr>
              <w:t>10%</w:t>
            </w:r>
            <w:r>
              <w:rPr>
                <w:rFonts w:ascii="宋体" w:eastAsia="宋体" w:hAnsi="宋体" w:cs="宋体" w:hint="eastAsia"/>
                <w:color w:val="000000"/>
                <w:kern w:val="0"/>
                <w:sz w:val="20"/>
                <w:szCs w:val="20"/>
                <w:lang/>
              </w:rPr>
              <w:t>的规定。</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参加交易的企业需按照规定将保证金汇至北京华商储备商品交易所有限责任公司账户。</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未成交企业在交易结束后退还保证金，成交企业在合同执行完毕后退还保证金。如企业违约，相关保证金上交中央财政。</w:t>
            </w:r>
          </w:p>
        </w:tc>
      </w:tr>
      <w:tr w:rsidR="00AD52D5">
        <w:trPr>
          <w:trHeight w:val="1834"/>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对外劳务合作风险处置</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商务部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《对外劳务合作管理条例》</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对外劳务合作风险处置备用金缴存金额不低于人民币</w:t>
            </w:r>
            <w:r>
              <w:rPr>
                <w:rFonts w:ascii="宋体" w:eastAsia="宋体" w:hAnsi="宋体" w:cs="宋体" w:hint="eastAsia"/>
                <w:color w:val="000000"/>
                <w:kern w:val="0"/>
                <w:sz w:val="20"/>
                <w:szCs w:val="20"/>
                <w:lang/>
              </w:rPr>
              <w:t>300</w:t>
            </w:r>
            <w:r>
              <w:rPr>
                <w:rFonts w:ascii="宋体" w:eastAsia="宋体" w:hAnsi="宋体" w:cs="宋体" w:hint="eastAsia"/>
                <w:color w:val="000000"/>
                <w:kern w:val="0"/>
                <w:sz w:val="20"/>
                <w:szCs w:val="20"/>
                <w:lang/>
              </w:rPr>
              <w:t>万元。</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对外劳务合作企业应当自获得对外劳务合作经营资格并在工商行政管理部门登记之日起</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个工作日内，在负责审批的商务主管部门指定的银行缴存对外劳务合作风险处置备用金。备用金可以用现金或银行保函形式缴存。</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外劳务合作企业停止开展对外劳务合作的，应当对其派出的尚在国外工作的劳务人员作出妥善安排，并将安排方案连同两年内有效的备用金缴存凭证或者保函报商务主管部门备案。对外劳务合作企业自备案之日起两年内未发生针对其的劳务纠纷投诉或者诉讼的，可退还缴存的备用金。</w:t>
            </w:r>
          </w:p>
        </w:tc>
      </w:tr>
      <w:tr w:rsidR="00AD52D5">
        <w:trPr>
          <w:trHeight w:val="1755"/>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对外承包工程企业备用金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商务部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《对外承包工程管理条例》</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对外承包工程企业备用金缴存标准</w:t>
            </w:r>
            <w:r>
              <w:rPr>
                <w:rFonts w:ascii="宋体" w:eastAsia="宋体" w:hAnsi="宋体" w:cs="宋体" w:hint="eastAsia"/>
                <w:color w:val="000000"/>
                <w:kern w:val="0"/>
                <w:sz w:val="20"/>
                <w:szCs w:val="20"/>
                <w:lang/>
              </w:rPr>
              <w:t>300</w:t>
            </w:r>
            <w:r>
              <w:rPr>
                <w:rFonts w:ascii="宋体" w:eastAsia="宋体" w:hAnsi="宋体" w:cs="宋体" w:hint="eastAsia"/>
                <w:color w:val="000000"/>
                <w:kern w:val="0"/>
                <w:sz w:val="20"/>
                <w:szCs w:val="20"/>
                <w:lang/>
              </w:rPr>
              <w:t>万元。</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对外承包工程企业应当在实质性开展业务前，在商务主管部门指定的银行缴存对外承包工程企业备用金。备用金可以用现金或银行保函形式缴存。</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外承包工程企业停止开展对外承包工程的，应当对其派出的尚在国外工作的劳务人员作出妥善安排，并将安排方案连同两年内有效的备用金缴存凭证或者保函报商务主管部门备案。对外承包工程企业自备案之日起两年内未发生针对其的劳务纠纷投诉或者诉讼的，可退还缴存的备用金。</w:t>
            </w:r>
          </w:p>
        </w:tc>
      </w:tr>
      <w:tr w:rsidR="00AD52D5">
        <w:trPr>
          <w:trHeight w:val="874"/>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9</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投标保证金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国家发展改革委</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《中华人民共和国招标投标法》《中华人民共和国招标投标法实施条例》</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投标保证金不得超过招标项目估算价的</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根拯招标文件具体要求执行。</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招标人最迟应当在书而合同签订</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后</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日内向中标人和未中标的投标人退还投标保证金及银行同期存款利息。</w:t>
            </w:r>
          </w:p>
        </w:tc>
      </w:tr>
      <w:tr w:rsidR="00AD52D5">
        <w:trPr>
          <w:trHeight w:val="874"/>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履约保证金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国家发展改革委</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《中华人民共和国招标投标法》《中华人民共和国招标投标法实施条例》</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履约保证金不得超过中标合同金额的</w:t>
            </w:r>
            <w:r>
              <w:rPr>
                <w:rFonts w:ascii="宋体" w:eastAsia="宋体" w:hAnsi="宋体" w:cs="宋体" w:hint="eastAsia"/>
                <w:color w:val="000000"/>
                <w:kern w:val="0"/>
                <w:sz w:val="20"/>
                <w:szCs w:val="20"/>
                <w:lang/>
              </w:rPr>
              <w:t>10%</w:t>
            </w:r>
            <w:r>
              <w:rPr>
                <w:rFonts w:ascii="宋体" w:eastAsia="宋体" w:hAnsi="宋体" w:cs="宋体" w:hint="eastAsia"/>
                <w:color w:val="000000"/>
                <w:kern w:val="0"/>
                <w:sz w:val="20"/>
                <w:szCs w:val="20"/>
                <w:lang/>
              </w:rPr>
              <w:t>。</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根据招标文件或中标合同具体要</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求执行。</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根据中标合同约定，待中标人履</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行完合同约定权利义务事项后退还。</w:t>
            </w:r>
          </w:p>
        </w:tc>
      </w:tr>
      <w:tr w:rsidR="00AD52D5">
        <w:trPr>
          <w:trHeight w:val="567"/>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工程质量保证金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住房和城乡建设部</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财政部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《国务院办公厅关于清理规范工程建设领域保证金的通知》、《住房城乡建设部财政部关于印发建设工程质量保证金管理办法的通知》</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Style w:val="font31"/>
                <w:rFonts w:hint="default"/>
                <w:sz w:val="20"/>
                <w:szCs w:val="20"/>
                <w:lang/>
              </w:rPr>
              <w:t>保证金预留比例由发承包双方自行约定，但不得高于工程价款结算总额的</w:t>
            </w:r>
            <w:r>
              <w:rPr>
                <w:rStyle w:val="font31"/>
                <w:rFonts w:hint="default"/>
                <w:sz w:val="20"/>
                <w:szCs w:val="20"/>
                <w:lang/>
              </w:rPr>
              <w:t>3%</w:t>
            </w:r>
            <w:r>
              <w:rPr>
                <w:rStyle w:val="font41"/>
                <w:rFonts w:hint="default"/>
                <w:sz w:val="20"/>
                <w:szCs w:val="20"/>
                <w:lang/>
              </w:rPr>
              <w:t>o</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发包人与承包人在建设工程承包合同中约定，从应付的工程款中预留，可以银行保函方式缴纳工程质量保证金，采用工程质量担保、工</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程质量保险等其他保证方式的不得预留工程质量保证金。建筑企业缴纳履约保证金的，建设单位不得同时预留工程质量保证金。</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缺陷责任期结朿后，承包人可向</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发包人提出返还保证金申请。发</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包人在接到承包人返还保证金中</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请后，应于</w:t>
            </w:r>
            <w:r>
              <w:rPr>
                <w:rFonts w:ascii="宋体" w:eastAsia="宋体" w:hAnsi="宋体" w:cs="宋体" w:hint="eastAsia"/>
                <w:color w:val="000000"/>
                <w:kern w:val="0"/>
                <w:sz w:val="20"/>
                <w:szCs w:val="20"/>
                <w:lang/>
              </w:rPr>
              <w:t>14</w:t>
            </w:r>
            <w:r>
              <w:rPr>
                <w:rFonts w:ascii="宋体" w:eastAsia="宋体" w:hAnsi="宋体" w:cs="宋体" w:hint="eastAsia"/>
                <w:color w:val="000000"/>
                <w:kern w:val="0"/>
                <w:sz w:val="20"/>
                <w:szCs w:val="20"/>
                <w:lang/>
              </w:rPr>
              <w:t>天内会同承包人按</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照合同约定的内容进行核实。如</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无异议，发包人应当按照约定将</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保证金返还给承包人。</w:t>
            </w:r>
          </w:p>
        </w:tc>
      </w:tr>
      <w:tr w:rsidR="00AD52D5">
        <w:trPr>
          <w:trHeight w:val="567"/>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农民工工资保证金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人力资源和社会保障部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《国务院关于解决农民工问题若干意见》《国务院办公厅转发解决企业工资拖欠问题部际联席会议关于推进企业解决工资拖欠问题若干意见的通知》《国务院办公厅</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关于全面治理拖欠农民工工作问题的意见》</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Style w:val="font31"/>
                <w:rFonts w:hint="default"/>
                <w:sz w:val="20"/>
                <w:szCs w:val="20"/>
                <w:lang/>
              </w:rPr>
              <w:t>（一）工程合同金额在</w:t>
            </w:r>
            <w:r>
              <w:rPr>
                <w:rStyle w:val="font31"/>
                <w:rFonts w:hint="default"/>
                <w:sz w:val="20"/>
                <w:szCs w:val="20"/>
                <w:lang/>
              </w:rPr>
              <w:t>1000</w:t>
            </w:r>
            <w:r>
              <w:rPr>
                <w:rStyle w:val="font31"/>
                <w:rFonts w:hint="default"/>
                <w:sz w:val="20"/>
                <w:szCs w:val="20"/>
                <w:lang/>
              </w:rPr>
              <w:t>万元（含</w:t>
            </w:r>
            <w:r>
              <w:rPr>
                <w:rStyle w:val="font31"/>
                <w:rFonts w:hint="default"/>
                <w:sz w:val="20"/>
                <w:szCs w:val="20"/>
                <w:lang/>
              </w:rPr>
              <w:t>1000</w:t>
            </w:r>
            <w:r>
              <w:rPr>
                <w:rStyle w:val="font31"/>
                <w:rFonts w:hint="default"/>
                <w:sz w:val="20"/>
                <w:szCs w:val="20"/>
                <w:lang/>
              </w:rPr>
              <w:t>万元）以下，按合同金额的</w:t>
            </w:r>
            <w:r>
              <w:rPr>
                <w:rStyle w:val="font31"/>
                <w:rFonts w:hint="default"/>
                <w:sz w:val="20"/>
                <w:szCs w:val="20"/>
                <w:lang/>
              </w:rPr>
              <w:t>3%</w:t>
            </w:r>
            <w:r>
              <w:rPr>
                <w:rStyle w:val="font31"/>
                <w:rFonts w:hint="default"/>
                <w:sz w:val="20"/>
                <w:szCs w:val="20"/>
                <w:lang/>
              </w:rPr>
              <w:t>计算；（二）工程合同金额在</w:t>
            </w:r>
            <w:r>
              <w:rPr>
                <w:rStyle w:val="font31"/>
                <w:rFonts w:hint="default"/>
                <w:sz w:val="20"/>
                <w:szCs w:val="20"/>
                <w:lang/>
              </w:rPr>
              <w:t>1000</w:t>
            </w:r>
            <w:r>
              <w:rPr>
                <w:rStyle w:val="font31"/>
                <w:rFonts w:hint="default"/>
                <w:sz w:val="20"/>
                <w:szCs w:val="20"/>
                <w:lang/>
              </w:rPr>
              <w:t>万元一</w:t>
            </w:r>
            <w:r>
              <w:rPr>
                <w:rStyle w:val="font31"/>
                <w:rFonts w:hint="default"/>
                <w:sz w:val="20"/>
                <w:szCs w:val="20"/>
                <w:lang/>
              </w:rPr>
              <w:t>5000</w:t>
            </w:r>
            <w:r>
              <w:rPr>
                <w:rStyle w:val="font31"/>
                <w:rFonts w:hint="default"/>
                <w:sz w:val="20"/>
                <w:szCs w:val="20"/>
                <w:lang/>
              </w:rPr>
              <w:t>万元（含</w:t>
            </w:r>
            <w:r>
              <w:rPr>
                <w:rStyle w:val="font31"/>
                <w:rFonts w:hint="default"/>
                <w:sz w:val="20"/>
                <w:szCs w:val="20"/>
                <w:lang/>
              </w:rPr>
              <w:t>5000</w:t>
            </w:r>
            <w:r>
              <w:rPr>
                <w:rStyle w:val="font31"/>
                <w:rFonts w:hint="default"/>
                <w:sz w:val="20"/>
                <w:szCs w:val="20"/>
                <w:lang/>
              </w:rPr>
              <w:t>万元），按合同金额的</w:t>
            </w:r>
            <w:r>
              <w:rPr>
                <w:rStyle w:val="font31"/>
                <w:rFonts w:hint="default"/>
                <w:sz w:val="20"/>
                <w:szCs w:val="20"/>
                <w:lang/>
              </w:rPr>
              <w:t>2%</w:t>
            </w:r>
            <w:r>
              <w:rPr>
                <w:rStyle w:val="font31"/>
                <w:rFonts w:hint="default"/>
                <w:sz w:val="20"/>
                <w:szCs w:val="20"/>
                <w:lang/>
              </w:rPr>
              <w:t>计算；（三）工程合同金额在</w:t>
            </w:r>
            <w:r>
              <w:rPr>
                <w:rStyle w:val="font31"/>
                <w:rFonts w:hint="default"/>
                <w:sz w:val="20"/>
                <w:szCs w:val="20"/>
                <w:lang/>
              </w:rPr>
              <w:t>5000</w:t>
            </w:r>
            <w:r>
              <w:rPr>
                <w:rStyle w:val="font31"/>
                <w:rFonts w:hint="default"/>
                <w:sz w:val="20"/>
                <w:szCs w:val="20"/>
                <w:lang/>
              </w:rPr>
              <w:t>万以上的，按合同金额的</w:t>
            </w:r>
            <w:r>
              <w:rPr>
                <w:rStyle w:val="font31"/>
                <w:rFonts w:hint="default"/>
                <w:sz w:val="20"/>
                <w:szCs w:val="20"/>
                <w:lang/>
              </w:rPr>
              <w:t>1.5%</w:t>
            </w:r>
            <w:r>
              <w:rPr>
                <w:rStyle w:val="font31"/>
                <w:rFonts w:hint="default"/>
                <w:sz w:val="20"/>
                <w:szCs w:val="20"/>
                <w:lang/>
              </w:rPr>
              <w:t>计算。</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按《汉中市人民政府关于印发汉中市建设领域农民工工资支付保证</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金制度暂行办法的通知》（汉政发（</w:t>
            </w:r>
            <w:r>
              <w:rPr>
                <w:rFonts w:ascii="宋体" w:eastAsia="宋体" w:hAnsi="宋体" w:cs="宋体" w:hint="eastAsia"/>
                <w:color w:val="000000"/>
                <w:kern w:val="0"/>
                <w:sz w:val="20"/>
                <w:szCs w:val="20"/>
                <w:lang/>
              </w:rPr>
              <w:t>2011</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号）具体要求执行。</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建设工程项目竣工验收后，六十</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日内无农民工投诉的，企业持有</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关部门工程竣工验收证明，到劳</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动保障监察机构中请退还工资支</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付保证金。劳动保障监察机构经</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调查核实后，出具《汉中市农民</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工工资支付保证金返还通知书》，</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由开户银行将农民工工资支付保</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证金本金和利息一次性返还给总</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承包施工企业。</w:t>
            </w:r>
          </w:p>
        </w:tc>
      </w:tr>
      <w:tr w:rsidR="00AD52D5">
        <w:trPr>
          <w:trHeight w:val="567"/>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13</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工程质量保证金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住房和城乡建设部</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财政部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《国务院办公厅关于清理规范工程建设领域保证金的通知》（国办发</w:t>
            </w:r>
            <w:r>
              <w:rPr>
                <w:rFonts w:ascii="宋体" w:eastAsia="宋体" w:hAnsi="宋体" w:cs="宋体" w:hint="eastAsia"/>
                <w:color w:val="000000"/>
                <w:kern w:val="0"/>
                <w:sz w:val="20"/>
                <w:szCs w:val="20"/>
                <w:lang/>
              </w:rPr>
              <w:t>C49</w:t>
            </w:r>
            <w:r>
              <w:rPr>
                <w:rFonts w:ascii="宋体" w:eastAsia="宋体" w:hAnsi="宋体" w:cs="宋体" w:hint="eastAsia"/>
                <w:color w:val="000000"/>
                <w:kern w:val="0"/>
                <w:sz w:val="20"/>
                <w:szCs w:val="20"/>
                <w:lang/>
              </w:rPr>
              <w:t>号）《住房城乡建设部</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财政部关于印发建设工程质量保证金管理办法的通知》（建质〔</w:t>
            </w:r>
            <w:r>
              <w:rPr>
                <w:rFonts w:ascii="宋体" w:eastAsia="宋体" w:hAnsi="宋体" w:cs="宋体" w:hint="eastAsia"/>
                <w:color w:val="000000"/>
                <w:kern w:val="0"/>
                <w:sz w:val="20"/>
                <w:szCs w:val="20"/>
                <w:lang/>
              </w:rPr>
              <w:t>2016</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295</w:t>
            </w:r>
            <w:r>
              <w:rPr>
                <w:rFonts w:ascii="宋体" w:eastAsia="宋体" w:hAnsi="宋体" w:cs="宋体" w:hint="eastAsia"/>
                <w:color w:val="000000"/>
                <w:kern w:val="0"/>
                <w:sz w:val="20"/>
                <w:szCs w:val="20"/>
                <w:lang/>
              </w:rPr>
              <w:t>号）</w:t>
            </w:r>
          </w:p>
        </w:tc>
        <w:tc>
          <w:tcPr>
            <w:tcW w:w="3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保证金预留比例由发承包双方自行约定，但不得高于工程价款结算总额的</w:t>
            </w: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w:t>
            </w:r>
          </w:p>
        </w:tc>
        <w:tc>
          <w:tcPr>
            <w:tcW w:w="3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发包人与承包人在建设工程承包合同中约定，从应付的工程款中预留，可以银行保函方式缴纳工程质量保证金，采用工程质量担保、工程质量保险等其他保证方式的不得预留工程质量保证金。建筑企业缴纳履约保证金的，建设单位不得同时预留工程质量保证金。</w:t>
            </w:r>
          </w:p>
        </w:tc>
        <w:tc>
          <w:tcPr>
            <w:tcW w:w="3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缺陷责任期结束后，承包人可向发包人提出返还</w:t>
            </w:r>
            <w:r>
              <w:rPr>
                <w:rFonts w:ascii="宋体" w:eastAsia="宋体" w:hAnsi="宋体" w:cs="宋体" w:hint="eastAsia"/>
                <w:color w:val="000000"/>
                <w:kern w:val="0"/>
                <w:sz w:val="20"/>
                <w:szCs w:val="20"/>
                <w:lang/>
              </w:rPr>
              <w:t>保证金申请。发包人在接到承包人返还保证金申请后，应于</w:t>
            </w:r>
            <w:r>
              <w:rPr>
                <w:rFonts w:ascii="宋体" w:eastAsia="宋体" w:hAnsi="宋体" w:cs="宋体" w:hint="eastAsia"/>
                <w:color w:val="000000"/>
                <w:kern w:val="0"/>
                <w:sz w:val="20"/>
                <w:szCs w:val="20"/>
                <w:lang/>
              </w:rPr>
              <w:t>14</w:t>
            </w:r>
            <w:r>
              <w:rPr>
                <w:rFonts w:ascii="宋体" w:eastAsia="宋体" w:hAnsi="宋体" w:cs="宋体" w:hint="eastAsia"/>
                <w:color w:val="000000"/>
                <w:kern w:val="0"/>
                <w:sz w:val="20"/>
                <w:szCs w:val="20"/>
                <w:lang/>
              </w:rPr>
              <w:t>天内会同承包人按照合同约定的内容进行核实。如无异议，发包人应当按照约定将保证金返还给承包人。</w:t>
            </w:r>
          </w:p>
        </w:tc>
      </w:tr>
      <w:tr w:rsidR="00AD52D5">
        <w:trPr>
          <w:trHeight w:val="2547"/>
          <w:jc w:val="center"/>
        </w:trPr>
        <w:tc>
          <w:tcPr>
            <w:tcW w:w="396" w:type="dxa"/>
            <w:tcBorders>
              <w:top w:val="single" w:sz="4" w:space="0" w:color="000000"/>
              <w:left w:val="single" w:sz="4" w:space="0" w:color="000000"/>
              <w:bottom w:val="nil"/>
              <w:right w:val="single" w:sz="4" w:space="0" w:color="000000"/>
            </w:tcBorders>
            <w:shd w:val="clear" w:color="auto" w:fill="auto"/>
            <w:noWrap/>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14</w:t>
            </w:r>
          </w:p>
        </w:tc>
        <w:tc>
          <w:tcPr>
            <w:tcW w:w="967"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农民工工资保证金</w:t>
            </w:r>
          </w:p>
        </w:tc>
        <w:tc>
          <w:tcPr>
            <w:tcW w:w="800"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人力资源和社会保障部</w:t>
            </w:r>
          </w:p>
        </w:tc>
        <w:tc>
          <w:tcPr>
            <w:tcW w:w="2397"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《国务院办公厅关于全面治理拖欠农民工工资问题的意见》（国办发〔</w:t>
            </w:r>
            <w:r>
              <w:rPr>
                <w:rFonts w:ascii="宋体" w:eastAsia="宋体" w:hAnsi="宋体" w:cs="宋体" w:hint="eastAsia"/>
                <w:color w:val="000000"/>
                <w:kern w:val="0"/>
                <w:sz w:val="20"/>
                <w:szCs w:val="20"/>
                <w:lang/>
              </w:rPr>
              <w:t>2016</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号）《陕西省人民政府办公厅关于清理规范工程建设领域保证金的实施意见》（陕政办发〔</w:t>
            </w:r>
            <w:r>
              <w:rPr>
                <w:rFonts w:ascii="宋体" w:eastAsia="宋体" w:hAnsi="宋体" w:cs="宋体" w:hint="eastAsia"/>
                <w:color w:val="000000"/>
                <w:kern w:val="0"/>
                <w:sz w:val="20"/>
                <w:szCs w:val="20"/>
                <w:lang/>
              </w:rPr>
              <w:t>2016</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80</w:t>
            </w:r>
            <w:r>
              <w:rPr>
                <w:rFonts w:ascii="宋体" w:eastAsia="宋体" w:hAnsi="宋体" w:cs="宋体" w:hint="eastAsia"/>
                <w:color w:val="000000"/>
                <w:kern w:val="0"/>
                <w:sz w:val="20"/>
                <w:szCs w:val="20"/>
                <w:lang/>
              </w:rPr>
              <w:t>号）《保障农民工工资支付条例》（中华人民共和国国务院令第</w:t>
            </w:r>
            <w:r>
              <w:rPr>
                <w:rFonts w:ascii="宋体" w:eastAsia="宋体" w:hAnsi="宋体" w:cs="宋体" w:hint="eastAsia"/>
                <w:color w:val="000000"/>
                <w:kern w:val="0"/>
                <w:sz w:val="20"/>
                <w:szCs w:val="20"/>
                <w:lang/>
              </w:rPr>
              <w:t>724</w:t>
            </w:r>
            <w:r>
              <w:rPr>
                <w:rFonts w:ascii="宋体" w:eastAsia="宋体" w:hAnsi="宋体" w:cs="宋体" w:hint="eastAsia"/>
                <w:color w:val="000000"/>
                <w:kern w:val="0"/>
                <w:sz w:val="20"/>
                <w:szCs w:val="20"/>
                <w:lang/>
              </w:rPr>
              <w:t>号）</w:t>
            </w:r>
          </w:p>
        </w:tc>
        <w:tc>
          <w:tcPr>
            <w:tcW w:w="3103"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收取工程投资总额的</w:t>
            </w:r>
            <w:r>
              <w:rPr>
                <w:rFonts w:ascii="宋体" w:eastAsia="宋体" w:hAnsi="宋体" w:cs="宋体" w:hint="eastAsia"/>
                <w:color w:val="000000"/>
                <w:kern w:val="0"/>
                <w:sz w:val="20"/>
                <w:szCs w:val="20"/>
                <w:lang/>
              </w:rPr>
              <w:t>0.5%</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额度的农民工工资保证金</w:t>
            </w:r>
          </w:p>
        </w:tc>
        <w:tc>
          <w:tcPr>
            <w:tcW w:w="3445"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施工总承包企业在建设项目开工前，到各县区人力资源和社会保障局进行缴存。</w:t>
            </w:r>
          </w:p>
        </w:tc>
        <w:tc>
          <w:tcPr>
            <w:tcW w:w="3851"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建设工程项目竣工验收后，六十</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日内无农民工投诉的，企业持有</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关部门工程竣工验收证明，到劳</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动保障监察机构中请退还工资支</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付保证金。劳动保障监察机构经</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调查核实后，出具《汉中市农民</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工工资支付保证金返还通知书》，</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由开户银行将农民工工资支付保</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证金本金和利息一次性返还给总</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承包施工企业。</w:t>
            </w:r>
          </w:p>
        </w:tc>
      </w:tr>
      <w:tr w:rsidR="00AD52D5">
        <w:trPr>
          <w:trHeight w:val="1258"/>
          <w:jc w:val="center"/>
        </w:trPr>
        <w:tc>
          <w:tcPr>
            <w:tcW w:w="396" w:type="dxa"/>
            <w:tcBorders>
              <w:top w:val="single" w:sz="4" w:space="0" w:color="000000"/>
              <w:left w:val="single" w:sz="4" w:space="0" w:color="000000"/>
              <w:bottom w:val="nil"/>
              <w:right w:val="single" w:sz="4" w:space="0" w:color="000000"/>
            </w:tcBorders>
            <w:shd w:val="clear" w:color="auto" w:fill="auto"/>
            <w:noWrap/>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15</w:t>
            </w:r>
          </w:p>
        </w:tc>
        <w:tc>
          <w:tcPr>
            <w:tcW w:w="967"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国有建设用地使用权投标、竞买保证金</w:t>
            </w:r>
          </w:p>
        </w:tc>
        <w:tc>
          <w:tcPr>
            <w:tcW w:w="800"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国家自然资源部</w:t>
            </w:r>
          </w:p>
        </w:tc>
        <w:tc>
          <w:tcPr>
            <w:tcW w:w="2397"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《招标拍卖挂牌出让国有建设用地使用权规定》（中华人民共和国国土资源部第</w:t>
            </w:r>
            <w:r>
              <w:rPr>
                <w:rFonts w:ascii="宋体" w:eastAsia="宋体" w:hAnsi="宋体" w:cs="宋体" w:hint="eastAsia"/>
                <w:color w:val="000000"/>
                <w:kern w:val="0"/>
                <w:sz w:val="20"/>
                <w:szCs w:val="20"/>
                <w:lang/>
              </w:rPr>
              <w:t>39</w:t>
            </w:r>
            <w:r>
              <w:rPr>
                <w:rFonts w:ascii="宋体" w:eastAsia="宋体" w:hAnsi="宋体" w:cs="宋体" w:hint="eastAsia"/>
                <w:color w:val="000000"/>
                <w:kern w:val="0"/>
                <w:sz w:val="20"/>
                <w:szCs w:val="20"/>
                <w:lang/>
              </w:rPr>
              <w:t>号令）</w:t>
            </w:r>
          </w:p>
        </w:tc>
        <w:tc>
          <w:tcPr>
            <w:tcW w:w="3103"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Style w:val="font31"/>
                <w:rFonts w:hint="default"/>
                <w:sz w:val="20"/>
                <w:szCs w:val="20"/>
                <w:lang/>
              </w:rPr>
              <w:t>竞买保证金不得低于出让最低价的</w:t>
            </w:r>
            <w:r>
              <w:rPr>
                <w:rStyle w:val="font31"/>
                <w:rFonts w:hint="default"/>
                <w:sz w:val="20"/>
                <w:szCs w:val="20"/>
                <w:lang/>
              </w:rPr>
              <w:t>20%</w:t>
            </w:r>
            <w:r>
              <w:rPr>
                <w:rStyle w:val="font31"/>
                <w:rFonts w:hint="default"/>
                <w:sz w:val="20"/>
                <w:szCs w:val="20"/>
                <w:lang/>
              </w:rPr>
              <w:t>。具体数额按照市政府批准的国有土地使用权供应方案</w:t>
            </w:r>
            <w:r>
              <w:rPr>
                <w:rStyle w:val="font11"/>
                <w:rFonts w:hint="default"/>
                <w:sz w:val="20"/>
                <w:szCs w:val="20"/>
                <w:lang/>
              </w:rPr>
              <w:t>或集体决策。</w:t>
            </w:r>
          </w:p>
        </w:tc>
        <w:tc>
          <w:tcPr>
            <w:tcW w:w="3445"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Style w:val="font31"/>
                <w:rFonts w:hint="default"/>
                <w:sz w:val="20"/>
                <w:szCs w:val="20"/>
                <w:lang/>
              </w:rPr>
              <w:t>按照《公开出让国有建设用地使用权公告</w:t>
            </w:r>
            <w:r>
              <w:rPr>
                <w:rStyle w:val="font51"/>
                <w:sz w:val="20"/>
                <w:szCs w:val="20"/>
                <w:lang/>
              </w:rPr>
              <w:t>》</w:t>
            </w:r>
            <w:r>
              <w:rPr>
                <w:rStyle w:val="font11"/>
                <w:rFonts w:hint="default"/>
                <w:sz w:val="20"/>
                <w:szCs w:val="20"/>
                <w:lang/>
              </w:rPr>
              <w:t>规定的支付投标、竞买保证金的数额、方式和期限缴纳。</w:t>
            </w:r>
          </w:p>
        </w:tc>
        <w:tc>
          <w:tcPr>
            <w:tcW w:w="3851" w:type="dxa"/>
            <w:tcBorders>
              <w:top w:val="single" w:sz="4" w:space="0" w:color="000000"/>
              <w:left w:val="single" w:sz="4" w:space="0" w:color="000000"/>
              <w:bottom w:val="nil"/>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中标人、竞得人支付的投标、竞买保证金抵作土地出让价款；其他投标人、竞买人支付的投标、竞买保证金，出让人必须在招标拍卖挂牌活动结束后</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个工作日内予以退还，不计利息。</w:t>
            </w:r>
          </w:p>
        </w:tc>
      </w:tr>
      <w:tr w:rsidR="00AD52D5">
        <w:trPr>
          <w:trHeight w:val="1303"/>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16</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矿业权交易保证金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国家自然资源部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《矿业权交易规则》（国土资规〔</w:t>
            </w:r>
            <w:r>
              <w:rPr>
                <w:rFonts w:ascii="宋体" w:eastAsia="宋体" w:hAnsi="宋体" w:cs="宋体" w:hint="eastAsia"/>
                <w:color w:val="000000"/>
                <w:kern w:val="0"/>
                <w:sz w:val="20"/>
                <w:szCs w:val="20"/>
                <w:lang/>
              </w:rPr>
              <w:t>2016</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7</w:t>
            </w:r>
            <w:r>
              <w:rPr>
                <w:rFonts w:ascii="宋体" w:eastAsia="宋体" w:hAnsi="宋体" w:cs="宋体" w:hint="eastAsia"/>
                <w:color w:val="000000"/>
                <w:kern w:val="0"/>
                <w:sz w:val="20"/>
                <w:szCs w:val="20"/>
                <w:lang/>
              </w:rPr>
              <w:t>号）</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具体数额按照矿业权公开出让方案或集体研究决策</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按照《采矿权公开出让公告》规定的交易保证金的缴纳和处置。</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在招标、拍卖、挂牌活动结束后，</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个工作日内通知未中标、未竞得的投标人、竞买人办理交易保证金退还手续。退还的交易保证金不计利息。</w:t>
            </w:r>
          </w:p>
        </w:tc>
      </w:tr>
      <w:tr w:rsidR="00AD52D5">
        <w:trPr>
          <w:trHeight w:val="2409"/>
          <w:jc w:val="center"/>
        </w:trPr>
        <w:tc>
          <w:tcPr>
            <w:tcW w:w="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52D5" w:rsidRDefault="00CD76F4">
            <w:pPr>
              <w:widowControl/>
              <w:spacing w:line="240" w:lineRule="exac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17</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旅游服务质量保证金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国家文化和旅游部</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根据《中华人民共和国消费者权益保护法》、《中华人民共和国反不正当竞争法》和《旅行社管理暂行条例》的有关规定，按照旅行社的经营特点，参照国际惯例，经国务院批准，对旅行社实行质量保证金制度。</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经营国内旅游业务、入境旅游业务缴存</w:t>
            </w:r>
            <w:r>
              <w:rPr>
                <w:rFonts w:ascii="宋体" w:eastAsia="宋体" w:hAnsi="宋体" w:cs="宋体" w:hint="eastAsia"/>
                <w:color w:val="000000"/>
                <w:kern w:val="0"/>
                <w:sz w:val="20"/>
                <w:szCs w:val="20"/>
                <w:lang/>
              </w:rPr>
              <w:t>20</w:t>
            </w:r>
            <w:r>
              <w:rPr>
                <w:rFonts w:ascii="宋体" w:eastAsia="宋体" w:hAnsi="宋体" w:cs="宋体" w:hint="eastAsia"/>
                <w:color w:val="000000"/>
                <w:kern w:val="0"/>
                <w:sz w:val="20"/>
                <w:szCs w:val="20"/>
                <w:lang/>
              </w:rPr>
              <w:t>万元（人民币，下同），每增设</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家分社增存保证金</w:t>
            </w:r>
            <w:r>
              <w:rPr>
                <w:rFonts w:ascii="宋体" w:eastAsia="宋体" w:hAnsi="宋体" w:cs="宋体" w:hint="eastAsia"/>
                <w:color w:val="000000"/>
                <w:kern w:val="0"/>
                <w:sz w:val="20"/>
                <w:szCs w:val="20"/>
                <w:lang/>
              </w:rPr>
              <w:t>5</w:t>
            </w:r>
            <w:r>
              <w:rPr>
                <w:rFonts w:ascii="宋体" w:eastAsia="宋体" w:hAnsi="宋体" w:cs="宋体" w:hint="eastAsia"/>
                <w:color w:val="000000"/>
                <w:kern w:val="0"/>
                <w:sz w:val="20"/>
                <w:szCs w:val="20"/>
                <w:lang/>
              </w:rPr>
              <w:t>万元；</w:t>
            </w:r>
          </w:p>
          <w:p w:rsidR="00AD52D5" w:rsidRDefault="00CD76F4">
            <w:pPr>
              <w:widowControl/>
              <w:spacing w:line="240" w:lineRule="exac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）经营国内旅游业务、入境旅游业务和出境旅游业务的质量保证金缴存</w:t>
            </w:r>
            <w:r>
              <w:rPr>
                <w:rFonts w:ascii="宋体" w:eastAsia="宋体" w:hAnsi="宋体" w:cs="宋体" w:hint="eastAsia"/>
                <w:color w:val="000000"/>
                <w:kern w:val="0"/>
                <w:sz w:val="20"/>
                <w:szCs w:val="20"/>
                <w:lang/>
              </w:rPr>
              <w:t>140</w:t>
            </w:r>
            <w:r>
              <w:rPr>
                <w:rFonts w:ascii="宋体" w:eastAsia="宋体" w:hAnsi="宋体" w:cs="宋体" w:hint="eastAsia"/>
                <w:color w:val="000000"/>
                <w:kern w:val="0"/>
                <w:sz w:val="20"/>
                <w:szCs w:val="20"/>
                <w:lang/>
              </w:rPr>
              <w:t>万元，每增设</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家分社增存保证金</w:t>
            </w:r>
            <w:r>
              <w:rPr>
                <w:rFonts w:ascii="宋体" w:eastAsia="宋体" w:hAnsi="宋体" w:cs="宋体" w:hint="eastAsia"/>
                <w:color w:val="000000"/>
                <w:kern w:val="0"/>
                <w:sz w:val="20"/>
                <w:szCs w:val="20"/>
                <w:lang/>
              </w:rPr>
              <w:t>30</w:t>
            </w:r>
            <w:r>
              <w:rPr>
                <w:rFonts w:ascii="宋体" w:eastAsia="宋体" w:hAnsi="宋体" w:cs="宋体" w:hint="eastAsia"/>
                <w:color w:val="000000"/>
                <w:kern w:val="0"/>
                <w:sz w:val="20"/>
                <w:szCs w:val="20"/>
                <w:lang/>
              </w:rPr>
              <w:t>万元。</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申办单位在市行政审批服务局申请设立旅行社时，填写《缴纳旅行社质量保证金承诺书》；在审查合格后，一次性缴纳保证金，存缴保证金的旅行社与银行签订《旅游服务质量保证金存款协议书》并取得存单，资料上传全国旅游监管服务平台。</w:t>
            </w:r>
          </w:p>
        </w:tc>
        <w:tc>
          <w:tcPr>
            <w:tcW w:w="3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D5" w:rsidRDefault="00CD76F4">
            <w:pPr>
              <w:widowControl/>
              <w:spacing w:line="240" w:lineRule="exac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旅行社终止经营，旅游行政管理部门退还保证金；旅行社破产或解散时，保证金按《旅行社质量保证</w:t>
            </w:r>
            <w:r>
              <w:rPr>
                <w:rFonts w:ascii="宋体" w:eastAsia="宋体" w:hAnsi="宋体" w:cs="宋体" w:hint="eastAsia"/>
                <w:color w:val="000000"/>
                <w:kern w:val="0"/>
                <w:sz w:val="20"/>
                <w:szCs w:val="20"/>
                <w:lang/>
              </w:rPr>
              <w:t>金暂行规定》和其他有关法律规定处置。</w:t>
            </w:r>
          </w:p>
        </w:tc>
      </w:tr>
    </w:tbl>
    <w:p w:rsidR="00AD52D5" w:rsidRDefault="00AD52D5">
      <w:pPr>
        <w:ind w:leftChars="-495" w:left="-1039"/>
        <w:rPr>
          <w:rFonts w:ascii="仿宋_GB2312" w:eastAsia="仿宋_GB2312" w:hAnsi="仿宋_GB2312" w:cs="仿宋_GB2312"/>
          <w:b/>
          <w:bCs/>
          <w:sz w:val="26"/>
          <w:szCs w:val="26"/>
        </w:rPr>
        <w:sectPr w:rsidR="00AD52D5">
          <w:footerReference w:type="default" r:id="rId8"/>
          <w:pgSz w:w="16838" w:h="11906" w:orient="landscape"/>
          <w:pgMar w:top="1587" w:right="1701" w:bottom="1587" w:left="1587" w:header="851" w:footer="1134" w:gutter="0"/>
          <w:pgNumType w:start="3"/>
          <w:cols w:space="0"/>
          <w:docGrid w:type="lines" w:linePitch="312"/>
        </w:sectPr>
      </w:pPr>
    </w:p>
    <w:p w:rsidR="00AD52D5" w:rsidRDefault="00CD76F4">
      <w:pPr>
        <w:ind w:leftChars="-495" w:left="-1039"/>
        <w:rPr>
          <w:rFonts w:ascii="仿宋_GB2312" w:eastAsia="仿宋_GB2312" w:hAnsi="仿宋_GB2312" w:cs="仿宋_GB2312"/>
          <w:sz w:val="26"/>
          <w:szCs w:val="26"/>
        </w:rPr>
      </w:pPr>
      <w:r>
        <w:rPr>
          <w:rFonts w:ascii="仿宋_GB2312" w:eastAsia="仿宋_GB2312" w:hAnsi="仿宋_GB2312" w:cs="仿宋_GB2312"/>
          <w:b/>
          <w:bCs/>
          <w:sz w:val="26"/>
          <w:szCs w:val="26"/>
        </w:rPr>
        <w:lastRenderedPageBreak/>
        <w:t>附件</w:t>
      </w:r>
      <w:r>
        <w:rPr>
          <w:rFonts w:ascii="仿宋_GB2312" w:eastAsia="仿宋_GB2312" w:hAnsi="仿宋_GB2312" w:cs="仿宋_GB2312"/>
          <w:b/>
          <w:bCs/>
          <w:sz w:val="26"/>
          <w:szCs w:val="26"/>
        </w:rPr>
        <w:t>2</w:t>
      </w:r>
      <w:r>
        <w:rPr>
          <w:rFonts w:ascii="仿宋_GB2312" w:eastAsia="仿宋_GB2312" w:hAnsi="仿宋_GB2312" w:cs="仿宋_GB2312"/>
          <w:b/>
          <w:bCs/>
          <w:sz w:val="26"/>
          <w:szCs w:val="26"/>
        </w:rPr>
        <w:t>：</w:t>
      </w:r>
      <w:bookmarkStart w:id="0" w:name="_GoBack"/>
      <w:bookmarkEnd w:id="0"/>
    </w:p>
    <w:p w:rsidR="00AD52D5" w:rsidRDefault="00CD76F4">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汉中市</w:t>
      </w:r>
      <w:r>
        <w:rPr>
          <w:rFonts w:ascii="方正小标宋简体" w:eastAsia="方正小标宋简体" w:hAnsi="方正小标宋简体" w:cs="方正小标宋简体" w:hint="eastAsia"/>
          <w:sz w:val="36"/>
          <w:szCs w:val="36"/>
        </w:rPr>
        <w:t>涉企保证金台账表</w:t>
      </w:r>
    </w:p>
    <w:tbl>
      <w:tblPr>
        <w:tblStyle w:val="a6"/>
        <w:tblW w:w="0" w:type="auto"/>
        <w:tblInd w:w="-984" w:type="dxa"/>
        <w:tblLayout w:type="fixed"/>
        <w:tblLook w:val="04A0"/>
      </w:tblPr>
      <w:tblGrid>
        <w:gridCol w:w="2670"/>
        <w:gridCol w:w="1755"/>
        <w:gridCol w:w="1965"/>
        <w:gridCol w:w="1875"/>
        <w:gridCol w:w="1410"/>
        <w:gridCol w:w="975"/>
      </w:tblGrid>
      <w:tr w:rsidR="00AD52D5">
        <w:tc>
          <w:tcPr>
            <w:tcW w:w="2670" w:type="dxa"/>
            <w:noWrap/>
            <w:vAlign w:val="center"/>
          </w:tcPr>
          <w:p w:rsidR="00AD52D5" w:rsidRDefault="00AD52D5">
            <w:pPr>
              <w:jc w:val="center"/>
              <w:rPr>
                <w:rFonts w:ascii="仿宋_GB2312" w:eastAsia="仿宋_GB2312" w:hAnsi="仿宋_GB2312" w:cs="仿宋_GB2312"/>
                <w:sz w:val="32"/>
                <w:szCs w:val="32"/>
              </w:rPr>
            </w:pPr>
          </w:p>
        </w:tc>
        <w:tc>
          <w:tcPr>
            <w:tcW w:w="1755" w:type="dxa"/>
            <w:noWrap/>
            <w:vAlign w:val="center"/>
          </w:tcPr>
          <w:p w:rsidR="00AD52D5" w:rsidRDefault="00CD76F4">
            <w:pPr>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t>项目名称</w:t>
            </w:r>
          </w:p>
        </w:tc>
        <w:tc>
          <w:tcPr>
            <w:tcW w:w="1965" w:type="dxa"/>
            <w:noWrap/>
            <w:vAlign w:val="center"/>
          </w:tcPr>
          <w:p w:rsidR="00AD52D5" w:rsidRDefault="00CD76F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2020</w:t>
            </w:r>
            <w:r>
              <w:rPr>
                <w:rFonts w:ascii="仿宋_GB2312" w:eastAsia="仿宋_GB2312" w:hAnsi="仿宋_GB2312" w:cs="仿宋_GB2312"/>
                <w:b/>
                <w:bCs/>
                <w:sz w:val="32"/>
                <w:szCs w:val="32"/>
              </w:rPr>
              <w:t>年返还金额（亿元）</w:t>
            </w:r>
          </w:p>
        </w:tc>
        <w:tc>
          <w:tcPr>
            <w:tcW w:w="1875" w:type="dxa"/>
            <w:noWrap/>
            <w:vAlign w:val="center"/>
          </w:tcPr>
          <w:p w:rsidR="00AD52D5" w:rsidRDefault="00CD76F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2020</w:t>
            </w:r>
            <w:r>
              <w:rPr>
                <w:rFonts w:ascii="仿宋_GB2312" w:eastAsia="仿宋_GB2312" w:hAnsi="仿宋_GB2312" w:cs="仿宋_GB2312"/>
                <w:b/>
                <w:bCs/>
                <w:sz w:val="32"/>
                <w:szCs w:val="32"/>
              </w:rPr>
              <w:t>年底余额（亿元）</w:t>
            </w:r>
          </w:p>
        </w:tc>
        <w:tc>
          <w:tcPr>
            <w:tcW w:w="1410" w:type="dxa"/>
            <w:noWrap/>
            <w:vAlign w:val="center"/>
          </w:tcPr>
          <w:p w:rsidR="00AD52D5" w:rsidRDefault="00CD76F4">
            <w:pPr>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t>涉及企业数量</w:t>
            </w:r>
          </w:p>
        </w:tc>
        <w:tc>
          <w:tcPr>
            <w:tcW w:w="975" w:type="dxa"/>
            <w:noWrap/>
            <w:vAlign w:val="center"/>
          </w:tcPr>
          <w:p w:rsidR="00AD52D5" w:rsidRDefault="00CD76F4">
            <w:pPr>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t>备注</w:t>
            </w:r>
          </w:p>
        </w:tc>
      </w:tr>
      <w:tr w:rsidR="00AD52D5">
        <w:trPr>
          <w:trHeight w:val="744"/>
        </w:trPr>
        <w:tc>
          <w:tcPr>
            <w:tcW w:w="2670" w:type="dxa"/>
            <w:noWrap/>
          </w:tcPr>
          <w:p w:rsidR="00AD52D5" w:rsidRDefault="00CD76F4">
            <w:pPr>
              <w:rPr>
                <w:rFonts w:ascii="仿宋_GB2312" w:eastAsia="仿宋_GB2312" w:hAnsi="仿宋_GB2312" w:cs="仿宋_GB2312"/>
                <w:sz w:val="32"/>
                <w:szCs w:val="32"/>
              </w:rPr>
            </w:pPr>
            <w:r>
              <w:rPr>
                <w:rFonts w:ascii="仿宋_GB2312" w:eastAsia="仿宋_GB2312" w:hAnsi="仿宋_GB2312" w:cs="仿宋_GB2312"/>
                <w:b/>
                <w:bCs/>
                <w:sz w:val="32"/>
                <w:szCs w:val="32"/>
              </w:rPr>
              <w:t>一、保留项目合计</w:t>
            </w:r>
          </w:p>
        </w:tc>
        <w:tc>
          <w:tcPr>
            <w:tcW w:w="1755" w:type="dxa"/>
            <w:noWrap/>
          </w:tcPr>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r w:rsidR="00AD52D5">
        <w:tc>
          <w:tcPr>
            <w:tcW w:w="2670" w:type="dxa"/>
            <w:noWrap/>
          </w:tcPr>
          <w:p w:rsidR="00AD52D5" w:rsidRDefault="00CD76F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其中</w:t>
            </w:r>
            <w:r>
              <w:rPr>
                <w:rFonts w:ascii="仿宋_GB2312" w:eastAsia="仿宋_GB2312" w:hAnsi="仿宋_GB2312" w:cs="仿宋_GB2312"/>
                <w:sz w:val="32"/>
                <w:szCs w:val="32"/>
              </w:rPr>
              <w:t>:1.</w:t>
            </w:r>
          </w:p>
        </w:tc>
        <w:tc>
          <w:tcPr>
            <w:tcW w:w="1755" w:type="dxa"/>
            <w:noWrap/>
          </w:tcPr>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r w:rsidR="00AD52D5">
        <w:trPr>
          <w:trHeight w:val="539"/>
        </w:trPr>
        <w:tc>
          <w:tcPr>
            <w:tcW w:w="2670" w:type="dxa"/>
            <w:noWrap/>
          </w:tcPr>
          <w:p w:rsidR="00AD52D5" w:rsidRDefault="00CD76F4">
            <w:pPr>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p>
        </w:tc>
        <w:tc>
          <w:tcPr>
            <w:tcW w:w="1755" w:type="dxa"/>
            <w:noWrap/>
          </w:tcPr>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r w:rsidR="00AD52D5">
        <w:tc>
          <w:tcPr>
            <w:tcW w:w="2670" w:type="dxa"/>
            <w:noWrap/>
          </w:tcPr>
          <w:p w:rsidR="00AD52D5" w:rsidRDefault="00CD76F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tc>
        <w:tc>
          <w:tcPr>
            <w:tcW w:w="1755" w:type="dxa"/>
            <w:noWrap/>
          </w:tcPr>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r w:rsidR="00AD52D5">
        <w:trPr>
          <w:trHeight w:val="894"/>
        </w:trPr>
        <w:tc>
          <w:tcPr>
            <w:tcW w:w="2670" w:type="dxa"/>
            <w:noWrap/>
          </w:tcPr>
          <w:p w:rsidR="00AD52D5" w:rsidRDefault="00CD76F4">
            <w:pPr>
              <w:rPr>
                <w:rFonts w:ascii="仿宋_GB2312" w:eastAsia="仿宋_GB2312" w:hAnsi="仿宋_GB2312" w:cs="仿宋_GB2312"/>
                <w:sz w:val="32"/>
                <w:szCs w:val="32"/>
              </w:rPr>
            </w:pPr>
            <w:r>
              <w:rPr>
                <w:rFonts w:ascii="仿宋_GB2312" w:eastAsia="仿宋_GB2312" w:hAnsi="仿宋_GB2312" w:cs="仿宋_GB2312"/>
                <w:b/>
                <w:bCs/>
                <w:sz w:val="32"/>
                <w:szCs w:val="32"/>
              </w:rPr>
              <w:t>二、清理项目合计</w:t>
            </w:r>
          </w:p>
        </w:tc>
        <w:tc>
          <w:tcPr>
            <w:tcW w:w="1755" w:type="dxa"/>
            <w:noWrap/>
          </w:tcPr>
          <w:p w:rsidR="00AD52D5" w:rsidRDefault="00AD52D5">
            <w:pPr>
              <w:snapToGrid w:val="0"/>
              <w:rPr>
                <w:rFonts w:ascii="仿宋_GB2312" w:eastAsia="仿宋_GB2312" w:hAnsi="仿宋_GB2312" w:cs="仿宋_GB2312"/>
                <w:sz w:val="32"/>
                <w:szCs w:val="32"/>
              </w:rPr>
            </w:pPr>
          </w:p>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snapToGrid w:val="0"/>
              <w:rPr>
                <w:rFonts w:ascii="仿宋_GB2312" w:eastAsia="仿宋_GB2312" w:hAnsi="仿宋_GB2312" w:cs="仿宋_GB2312"/>
                <w:sz w:val="32"/>
                <w:szCs w:val="32"/>
              </w:rPr>
            </w:pPr>
          </w:p>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r w:rsidR="00AD52D5">
        <w:trPr>
          <w:trHeight w:val="674"/>
        </w:trPr>
        <w:tc>
          <w:tcPr>
            <w:tcW w:w="2670" w:type="dxa"/>
            <w:noWrap/>
          </w:tcPr>
          <w:p w:rsidR="00AD52D5" w:rsidRDefault="00CD76F4">
            <w:pPr>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其中：</w:t>
            </w:r>
            <w:r>
              <w:rPr>
                <w:rFonts w:ascii="仿宋_GB2312" w:eastAsia="仿宋_GB2312" w:hAnsi="仿宋_GB2312" w:cs="仿宋_GB2312"/>
                <w:sz w:val="32"/>
                <w:szCs w:val="32"/>
              </w:rPr>
              <w:t>1.</w:t>
            </w:r>
          </w:p>
        </w:tc>
        <w:tc>
          <w:tcPr>
            <w:tcW w:w="1755" w:type="dxa"/>
            <w:noWrap/>
          </w:tcPr>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snapToGrid w:val="0"/>
              <w:rPr>
                <w:rFonts w:ascii="仿宋_GB2312" w:eastAsia="仿宋_GB2312" w:hAnsi="仿宋_GB2312" w:cs="仿宋_GB2312"/>
                <w:sz w:val="32"/>
                <w:szCs w:val="32"/>
              </w:rPr>
            </w:pPr>
          </w:p>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r w:rsidR="00AD52D5">
        <w:trPr>
          <w:trHeight w:val="544"/>
        </w:trPr>
        <w:tc>
          <w:tcPr>
            <w:tcW w:w="2670" w:type="dxa"/>
            <w:noWrap/>
          </w:tcPr>
          <w:p w:rsidR="00AD52D5" w:rsidRDefault="00CD76F4">
            <w:pPr>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p>
        </w:tc>
        <w:tc>
          <w:tcPr>
            <w:tcW w:w="1755" w:type="dxa"/>
            <w:noWrap/>
          </w:tcPr>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snapToGrid w:val="0"/>
              <w:rPr>
                <w:rFonts w:ascii="仿宋_GB2312" w:eastAsia="仿宋_GB2312" w:hAnsi="仿宋_GB2312" w:cs="仿宋_GB2312"/>
                <w:sz w:val="32"/>
                <w:szCs w:val="32"/>
              </w:rPr>
            </w:pPr>
          </w:p>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r w:rsidR="00AD52D5">
        <w:trPr>
          <w:trHeight w:val="544"/>
        </w:trPr>
        <w:tc>
          <w:tcPr>
            <w:tcW w:w="2670" w:type="dxa"/>
            <w:noWrap/>
          </w:tcPr>
          <w:p w:rsidR="00AD52D5" w:rsidRDefault="00CD76F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tc>
        <w:tc>
          <w:tcPr>
            <w:tcW w:w="1755" w:type="dxa"/>
            <w:noWrap/>
          </w:tcPr>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snapToGrid w:val="0"/>
              <w:rPr>
                <w:rFonts w:ascii="仿宋_GB2312" w:eastAsia="仿宋_GB2312" w:hAnsi="仿宋_GB2312" w:cs="仿宋_GB2312"/>
                <w:sz w:val="32"/>
                <w:szCs w:val="32"/>
              </w:rPr>
            </w:pPr>
          </w:p>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r w:rsidR="00AD52D5">
        <w:trPr>
          <w:trHeight w:val="1133"/>
        </w:trPr>
        <w:tc>
          <w:tcPr>
            <w:tcW w:w="2670" w:type="dxa"/>
            <w:noWrap/>
          </w:tcPr>
          <w:p w:rsidR="00AD52D5" w:rsidRDefault="00CD76F4">
            <w:pPr>
              <w:jc w:val="left"/>
              <w:rPr>
                <w:rFonts w:ascii="仿宋_GB2312" w:eastAsia="仿宋_GB2312" w:hAnsi="仿宋_GB2312" w:cs="仿宋_GB2312"/>
                <w:sz w:val="32"/>
                <w:szCs w:val="32"/>
              </w:rPr>
            </w:pPr>
            <w:r>
              <w:rPr>
                <w:rFonts w:ascii="仿宋_GB2312" w:eastAsia="仿宋_GB2312" w:hAnsi="仿宋_GB2312" w:cs="仿宋_GB2312"/>
                <w:b/>
                <w:bCs/>
                <w:sz w:val="32"/>
                <w:szCs w:val="32"/>
              </w:rPr>
              <w:t>三、查处违规案件合计</w:t>
            </w:r>
          </w:p>
        </w:tc>
        <w:tc>
          <w:tcPr>
            <w:tcW w:w="1755" w:type="dxa"/>
            <w:noWrap/>
          </w:tcPr>
          <w:p w:rsidR="00AD52D5" w:rsidRDefault="00AD52D5">
            <w:pPr>
              <w:snapToGrid w:val="0"/>
              <w:rPr>
                <w:rFonts w:ascii="仿宋_GB2312" w:eastAsia="仿宋_GB2312" w:hAnsi="仿宋_GB2312" w:cs="仿宋_GB2312"/>
                <w:sz w:val="32"/>
                <w:szCs w:val="32"/>
              </w:rPr>
            </w:pPr>
          </w:p>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r w:rsidR="00AD52D5">
        <w:tc>
          <w:tcPr>
            <w:tcW w:w="2670" w:type="dxa"/>
            <w:noWrap/>
          </w:tcPr>
          <w:p w:rsidR="00AD52D5" w:rsidRDefault="00CD76F4">
            <w:pPr>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其中：</w:t>
            </w:r>
            <w:r>
              <w:rPr>
                <w:rFonts w:ascii="仿宋_GB2312" w:eastAsia="仿宋_GB2312" w:hAnsi="仿宋_GB2312" w:cs="仿宋_GB2312"/>
                <w:sz w:val="32"/>
                <w:szCs w:val="32"/>
              </w:rPr>
              <w:t>1.</w:t>
            </w:r>
          </w:p>
        </w:tc>
        <w:tc>
          <w:tcPr>
            <w:tcW w:w="1755" w:type="dxa"/>
            <w:noWrap/>
          </w:tcPr>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r w:rsidR="00AD52D5">
        <w:trPr>
          <w:trHeight w:val="464"/>
        </w:trPr>
        <w:tc>
          <w:tcPr>
            <w:tcW w:w="2670" w:type="dxa"/>
            <w:noWrap/>
          </w:tcPr>
          <w:p w:rsidR="00AD52D5" w:rsidRDefault="00CD76F4">
            <w:pPr>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p>
        </w:tc>
        <w:tc>
          <w:tcPr>
            <w:tcW w:w="1755" w:type="dxa"/>
            <w:noWrap/>
          </w:tcPr>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r w:rsidR="00AD52D5">
        <w:trPr>
          <w:trHeight w:val="429"/>
        </w:trPr>
        <w:tc>
          <w:tcPr>
            <w:tcW w:w="2670" w:type="dxa"/>
            <w:noWrap/>
          </w:tcPr>
          <w:p w:rsidR="00AD52D5" w:rsidRDefault="00CD76F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tc>
        <w:tc>
          <w:tcPr>
            <w:tcW w:w="1755" w:type="dxa"/>
            <w:noWrap/>
          </w:tcPr>
          <w:p w:rsidR="00AD52D5" w:rsidRDefault="00AD52D5">
            <w:pPr>
              <w:rPr>
                <w:rFonts w:ascii="仿宋_GB2312" w:eastAsia="仿宋_GB2312" w:hAnsi="仿宋_GB2312" w:cs="仿宋_GB2312"/>
                <w:sz w:val="32"/>
                <w:szCs w:val="32"/>
              </w:rPr>
            </w:pPr>
          </w:p>
        </w:tc>
        <w:tc>
          <w:tcPr>
            <w:tcW w:w="1965" w:type="dxa"/>
            <w:noWrap/>
          </w:tcPr>
          <w:p w:rsidR="00AD52D5" w:rsidRDefault="00AD52D5">
            <w:pPr>
              <w:rPr>
                <w:rFonts w:ascii="仿宋_GB2312" w:eastAsia="仿宋_GB2312" w:hAnsi="仿宋_GB2312" w:cs="仿宋_GB2312"/>
                <w:sz w:val="32"/>
                <w:szCs w:val="32"/>
              </w:rPr>
            </w:pPr>
          </w:p>
        </w:tc>
        <w:tc>
          <w:tcPr>
            <w:tcW w:w="1875" w:type="dxa"/>
            <w:noWrap/>
          </w:tcPr>
          <w:p w:rsidR="00AD52D5" w:rsidRDefault="00AD52D5">
            <w:pPr>
              <w:rPr>
                <w:rFonts w:ascii="仿宋_GB2312" w:eastAsia="仿宋_GB2312" w:hAnsi="仿宋_GB2312" w:cs="仿宋_GB2312"/>
                <w:sz w:val="32"/>
                <w:szCs w:val="32"/>
              </w:rPr>
            </w:pPr>
          </w:p>
        </w:tc>
        <w:tc>
          <w:tcPr>
            <w:tcW w:w="1410" w:type="dxa"/>
            <w:noWrap/>
          </w:tcPr>
          <w:p w:rsidR="00AD52D5" w:rsidRDefault="00AD52D5">
            <w:pPr>
              <w:rPr>
                <w:rFonts w:ascii="仿宋_GB2312" w:eastAsia="仿宋_GB2312" w:hAnsi="仿宋_GB2312" w:cs="仿宋_GB2312"/>
                <w:sz w:val="32"/>
                <w:szCs w:val="32"/>
              </w:rPr>
            </w:pPr>
          </w:p>
        </w:tc>
        <w:tc>
          <w:tcPr>
            <w:tcW w:w="975" w:type="dxa"/>
            <w:noWrap/>
          </w:tcPr>
          <w:p w:rsidR="00AD52D5" w:rsidRDefault="00AD52D5">
            <w:pPr>
              <w:rPr>
                <w:rFonts w:ascii="仿宋_GB2312" w:eastAsia="仿宋_GB2312" w:hAnsi="仿宋_GB2312" w:cs="仿宋_GB2312"/>
                <w:sz w:val="32"/>
                <w:szCs w:val="32"/>
              </w:rPr>
            </w:pPr>
          </w:p>
        </w:tc>
      </w:tr>
    </w:tbl>
    <w:p w:rsidR="00AD52D5" w:rsidRDefault="00CD76F4">
      <w:pPr>
        <w:adjustRightInd w:val="0"/>
        <w:snapToGrid w:val="0"/>
        <w:ind w:leftChars="-494" w:left="-1037" w:rightChars="-549" w:right="-1153"/>
        <w:rPr>
          <w:rFonts w:ascii="仿宋_GB2312" w:eastAsia="仿宋_GB2312" w:hAnsi="仿宋_GB2312" w:cs="仿宋_GB2312"/>
          <w:sz w:val="32"/>
          <w:szCs w:val="32"/>
        </w:rPr>
      </w:pPr>
      <w:r>
        <w:rPr>
          <w:rFonts w:ascii="仿宋_GB2312" w:eastAsia="仿宋_GB2312" w:hAnsi="仿宋_GB2312" w:cs="仿宋_GB2312"/>
          <w:sz w:val="32"/>
          <w:szCs w:val="32"/>
        </w:rPr>
        <w:t>注：</w:t>
      </w:r>
      <w:r>
        <w:rPr>
          <w:rFonts w:ascii="仿宋_GB2312" w:eastAsia="仿宋_GB2312" w:hAnsi="仿宋_GB2312" w:cs="仿宋_GB2312"/>
          <w:sz w:val="32"/>
          <w:szCs w:val="32"/>
        </w:rPr>
        <w:t>1.</w:t>
      </w:r>
      <w:r>
        <w:rPr>
          <w:rFonts w:ascii="仿宋_GB2312" w:eastAsia="仿宋_GB2312" w:hAnsi="仿宋_GB2312" w:cs="仿宋_GB2312"/>
          <w:sz w:val="32"/>
          <w:szCs w:val="32"/>
        </w:rPr>
        <w:t>第一部分</w:t>
      </w:r>
      <w:r>
        <w:rPr>
          <w:rFonts w:ascii="仿宋_GB2312" w:eastAsia="仿宋_GB2312" w:hAnsi="仿宋_GB2312" w:cs="仿宋_GB2312"/>
          <w:sz w:val="32"/>
          <w:szCs w:val="32"/>
        </w:rPr>
        <w:t>“</w:t>
      </w:r>
      <w:r>
        <w:rPr>
          <w:rFonts w:ascii="仿宋_GB2312" w:eastAsia="仿宋_GB2312" w:hAnsi="仿宋_GB2312" w:cs="仿宋_GB2312"/>
          <w:sz w:val="32"/>
          <w:szCs w:val="32"/>
        </w:rPr>
        <w:t>保留项目</w:t>
      </w:r>
      <w:r>
        <w:rPr>
          <w:rFonts w:ascii="仿宋_GB2312" w:eastAsia="仿宋_GB2312" w:hAnsi="仿宋_GB2312" w:cs="仿宋_GB2312"/>
          <w:sz w:val="32"/>
          <w:szCs w:val="32"/>
        </w:rPr>
        <w:t>”</w:t>
      </w:r>
      <w:r>
        <w:rPr>
          <w:rFonts w:ascii="仿宋_GB2312" w:eastAsia="仿宋_GB2312" w:hAnsi="仿宋_GB2312" w:cs="仿宋_GB2312"/>
          <w:sz w:val="32"/>
          <w:szCs w:val="32"/>
        </w:rPr>
        <w:t>中</w:t>
      </w:r>
      <w:r>
        <w:rPr>
          <w:rFonts w:ascii="仿宋_GB2312" w:eastAsia="仿宋_GB2312" w:hAnsi="仿宋_GB2312" w:cs="仿宋_GB2312"/>
          <w:sz w:val="32"/>
          <w:szCs w:val="32"/>
        </w:rPr>
        <w:t>“</w:t>
      </w:r>
      <w:r>
        <w:rPr>
          <w:rFonts w:ascii="仿宋_GB2312" w:eastAsia="仿宋_GB2312" w:hAnsi="仿宋_GB2312" w:cs="仿宋_GB2312"/>
          <w:sz w:val="32"/>
          <w:szCs w:val="32"/>
        </w:rPr>
        <w:t>涉及企业数量</w:t>
      </w:r>
      <w:r>
        <w:rPr>
          <w:rFonts w:ascii="仿宋_GB2312" w:eastAsia="仿宋_GB2312" w:hAnsi="仿宋_GB2312" w:cs="仿宋_GB2312"/>
          <w:sz w:val="32"/>
          <w:szCs w:val="32"/>
        </w:rPr>
        <w:t>”</w:t>
      </w:r>
      <w:r>
        <w:rPr>
          <w:rFonts w:ascii="仿宋_GB2312" w:eastAsia="仿宋_GB2312" w:hAnsi="仿宋_GB2312" w:cs="仿宋_GB2312"/>
          <w:sz w:val="32"/>
          <w:szCs w:val="32"/>
        </w:rPr>
        <w:t>是指</w:t>
      </w:r>
      <w:r>
        <w:rPr>
          <w:rFonts w:ascii="仿宋_GB2312" w:eastAsia="仿宋_GB2312" w:hAnsi="仿宋_GB2312" w:cs="仿宋_GB2312" w:hint="eastAsia"/>
          <w:sz w:val="32"/>
          <w:szCs w:val="32"/>
        </w:rPr>
        <w:t>2020</w:t>
      </w:r>
      <w:r>
        <w:rPr>
          <w:rFonts w:ascii="仿宋_GB2312" w:eastAsia="仿宋_GB2312" w:hAnsi="仿宋_GB2312" w:cs="仿宋_GB2312"/>
          <w:sz w:val="32"/>
          <w:szCs w:val="32"/>
        </w:rPr>
        <w:t>年底余额对应的企业数量。</w:t>
      </w:r>
    </w:p>
    <w:p w:rsidR="00AD52D5" w:rsidRDefault="00CD76F4">
      <w:pPr>
        <w:adjustRightInd w:val="0"/>
        <w:snapToGrid w:val="0"/>
        <w:ind w:leftChars="-494" w:left="-1037" w:rightChars="-549" w:right="-1153"/>
        <w:rPr>
          <w:rFonts w:ascii="Times New Roman" w:eastAsia="仿宋_GB2312" w:hAnsi="Times New Roman" w:cs="Times New Roman"/>
          <w:sz w:val="32"/>
          <w:szCs w:val="32"/>
          <w:shd w:val="clear" w:color="auto" w:fill="FFFFFF"/>
        </w:rPr>
      </w:pPr>
      <w:r>
        <w:rPr>
          <w:rFonts w:ascii="仿宋_GB2312" w:eastAsia="仿宋_GB2312" w:hAnsi="仿宋_GB2312" w:cs="仿宋_GB2312"/>
          <w:sz w:val="32"/>
          <w:szCs w:val="32"/>
        </w:rPr>
        <w:lastRenderedPageBreak/>
        <w:t xml:space="preserve">    2.</w:t>
      </w:r>
      <w:r>
        <w:rPr>
          <w:rFonts w:ascii="仿宋_GB2312" w:eastAsia="仿宋_GB2312" w:hAnsi="仿宋_GB2312" w:cs="仿宋_GB2312"/>
          <w:sz w:val="32"/>
          <w:szCs w:val="32"/>
        </w:rPr>
        <w:t>第三部分</w:t>
      </w:r>
      <w:r>
        <w:rPr>
          <w:rFonts w:ascii="仿宋_GB2312" w:eastAsia="仿宋_GB2312" w:hAnsi="仿宋_GB2312" w:cs="仿宋_GB2312"/>
          <w:sz w:val="32"/>
          <w:szCs w:val="32"/>
        </w:rPr>
        <w:t>“</w:t>
      </w:r>
      <w:r>
        <w:rPr>
          <w:rFonts w:ascii="仿宋_GB2312" w:eastAsia="仿宋_GB2312" w:hAnsi="仿宋_GB2312" w:cs="仿宋_GB2312"/>
          <w:sz w:val="32"/>
          <w:szCs w:val="32"/>
        </w:rPr>
        <w:t>查处违规案件</w:t>
      </w:r>
      <w:r>
        <w:rPr>
          <w:rFonts w:ascii="仿宋_GB2312" w:eastAsia="仿宋_GB2312" w:hAnsi="仿宋_GB2312" w:cs="仿宋_GB2312"/>
          <w:sz w:val="32"/>
          <w:szCs w:val="32"/>
        </w:rPr>
        <w:t>”</w:t>
      </w:r>
      <w:r>
        <w:rPr>
          <w:rFonts w:ascii="仿宋_GB2312" w:eastAsia="仿宋_GB2312" w:hAnsi="仿宋_GB2312" w:cs="仿宋_GB2312"/>
          <w:sz w:val="32"/>
          <w:szCs w:val="32"/>
        </w:rPr>
        <w:t>中请提供查处收取清单之外的保证金、超额收取保证金、</w:t>
      </w:r>
      <w:r>
        <w:rPr>
          <w:rFonts w:ascii="仿宋_GB2312" w:eastAsia="仿宋_GB2312" w:hAnsi="仿宋_GB2312" w:cs="仿宋_GB2312" w:hint="eastAsia"/>
          <w:sz w:val="32"/>
          <w:szCs w:val="32"/>
        </w:rPr>
        <w:t>不按时返还</w:t>
      </w:r>
      <w:r>
        <w:rPr>
          <w:rFonts w:ascii="仿宋_GB2312" w:eastAsia="仿宋_GB2312" w:hAnsi="仿宋_GB2312" w:cs="仿宋_GB2312"/>
          <w:sz w:val="32"/>
          <w:szCs w:val="32"/>
        </w:rPr>
        <w:t>保证金</w:t>
      </w:r>
      <w:r>
        <w:rPr>
          <w:rFonts w:ascii="仿宋_GB2312" w:eastAsia="仿宋_GB2312" w:hAnsi="仿宋_GB2312" w:cs="仿宋_GB2312" w:hint="eastAsia"/>
          <w:sz w:val="32"/>
          <w:szCs w:val="32"/>
        </w:rPr>
        <w:t>、挪用保证金</w:t>
      </w:r>
      <w:r>
        <w:rPr>
          <w:rFonts w:ascii="仿宋_GB2312" w:eastAsia="仿宋_GB2312" w:hAnsi="仿宋_GB2312" w:cs="仿宋_GB2312"/>
          <w:sz w:val="32"/>
          <w:szCs w:val="32"/>
        </w:rPr>
        <w:t>等违规行为的情况，</w:t>
      </w:r>
      <w:r>
        <w:rPr>
          <w:rFonts w:ascii="仿宋_GB2312" w:eastAsia="仿宋_GB2312"/>
          <w:sz w:val="32"/>
          <w:szCs w:val="32"/>
        </w:rPr>
        <w:t>有关处理结果请在备注栏说明。</w:t>
      </w:r>
    </w:p>
    <w:sectPr w:rsidR="00AD52D5" w:rsidSect="00AD52D5">
      <w:pgSz w:w="11906" w:h="16838"/>
      <w:pgMar w:top="1701" w:right="1587" w:bottom="1587" w:left="1587" w:header="851" w:footer="1134" w:gutter="0"/>
      <w:pgNumType w:start="3"/>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6F4" w:rsidRDefault="00CD76F4" w:rsidP="00AD52D5">
      <w:r>
        <w:separator/>
      </w:r>
    </w:p>
  </w:endnote>
  <w:endnote w:type="continuationSeparator" w:id="1">
    <w:p w:rsidR="00CD76F4" w:rsidRDefault="00CD76F4" w:rsidP="00AD5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D5" w:rsidRDefault="00AD52D5">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AD52D5" w:rsidRDefault="00CD76F4">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AD52D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D52D5">
                  <w:rPr>
                    <w:rFonts w:ascii="宋体" w:eastAsia="宋体" w:hAnsi="宋体" w:cs="宋体" w:hint="eastAsia"/>
                    <w:sz w:val="28"/>
                    <w:szCs w:val="28"/>
                  </w:rPr>
                  <w:fldChar w:fldCharType="separate"/>
                </w:r>
                <w:r w:rsidR="004B332D">
                  <w:rPr>
                    <w:rFonts w:ascii="宋体" w:eastAsia="宋体" w:hAnsi="宋体" w:cs="宋体"/>
                    <w:noProof/>
                    <w:sz w:val="28"/>
                    <w:szCs w:val="28"/>
                  </w:rPr>
                  <w:t>2</w:t>
                </w:r>
                <w:r w:rsidR="00AD52D5">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D5" w:rsidRDefault="00AD52D5">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AD52D5" w:rsidRDefault="00CD76F4">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AD52D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D52D5">
                  <w:rPr>
                    <w:rFonts w:ascii="宋体" w:eastAsia="宋体" w:hAnsi="宋体" w:cs="宋体" w:hint="eastAsia"/>
                    <w:sz w:val="28"/>
                    <w:szCs w:val="28"/>
                  </w:rPr>
                  <w:fldChar w:fldCharType="separate"/>
                </w:r>
                <w:r w:rsidR="004B332D">
                  <w:rPr>
                    <w:rFonts w:ascii="宋体" w:eastAsia="宋体" w:hAnsi="宋体" w:cs="宋体"/>
                    <w:noProof/>
                    <w:sz w:val="28"/>
                    <w:szCs w:val="28"/>
                  </w:rPr>
                  <w:t>4</w:t>
                </w:r>
                <w:r w:rsidR="00AD52D5">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6F4" w:rsidRDefault="00CD76F4" w:rsidP="00AD52D5">
      <w:r>
        <w:separator/>
      </w:r>
    </w:p>
  </w:footnote>
  <w:footnote w:type="continuationSeparator" w:id="1">
    <w:p w:rsidR="00CD76F4" w:rsidRDefault="00CD76F4" w:rsidP="00AD5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D52D5"/>
    <w:rsid w:val="004B332D"/>
    <w:rsid w:val="00AD52D5"/>
    <w:rsid w:val="00CD76F4"/>
    <w:rsid w:val="0B640335"/>
    <w:rsid w:val="14287DC5"/>
    <w:rsid w:val="14432C83"/>
    <w:rsid w:val="1A950000"/>
    <w:rsid w:val="22F62165"/>
    <w:rsid w:val="23960464"/>
    <w:rsid w:val="277F64D0"/>
    <w:rsid w:val="2C012137"/>
    <w:rsid w:val="2E893815"/>
    <w:rsid w:val="2EA053E2"/>
    <w:rsid w:val="30B40AB9"/>
    <w:rsid w:val="4B095A54"/>
    <w:rsid w:val="4FD77DC0"/>
    <w:rsid w:val="55774994"/>
    <w:rsid w:val="59715F35"/>
    <w:rsid w:val="605B6B9F"/>
    <w:rsid w:val="7FAA4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52D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D52D5"/>
    <w:pPr>
      <w:tabs>
        <w:tab w:val="center" w:pos="4153"/>
        <w:tab w:val="right" w:pos="8306"/>
      </w:tabs>
      <w:snapToGrid w:val="0"/>
      <w:jc w:val="left"/>
    </w:pPr>
    <w:rPr>
      <w:sz w:val="18"/>
    </w:rPr>
  </w:style>
  <w:style w:type="paragraph" w:styleId="a4">
    <w:name w:val="header"/>
    <w:basedOn w:val="a"/>
    <w:qFormat/>
    <w:rsid w:val="00AD52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D52D5"/>
    <w:pPr>
      <w:spacing w:beforeAutospacing="1" w:afterAutospacing="1"/>
      <w:jc w:val="left"/>
    </w:pPr>
    <w:rPr>
      <w:rFonts w:cs="Times New Roman"/>
      <w:kern w:val="0"/>
      <w:sz w:val="24"/>
    </w:rPr>
  </w:style>
  <w:style w:type="table" w:styleId="a6">
    <w:name w:val="Table Grid"/>
    <w:basedOn w:val="a1"/>
    <w:rsid w:val="00AD52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0"/>
    <w:rsid w:val="00AD52D5"/>
    <w:rPr>
      <w:rFonts w:ascii="宋体" w:eastAsia="宋体" w:hAnsi="宋体" w:cs="宋体" w:hint="eastAsia"/>
      <w:color w:val="000000"/>
      <w:sz w:val="22"/>
      <w:szCs w:val="22"/>
      <w:u w:val="none"/>
    </w:rPr>
  </w:style>
  <w:style w:type="character" w:customStyle="1" w:styleId="font41">
    <w:name w:val="font41"/>
    <w:basedOn w:val="a0"/>
    <w:rsid w:val="00AD52D5"/>
    <w:rPr>
      <w:rFonts w:ascii="宋体" w:eastAsia="宋体" w:hAnsi="宋体" w:cs="宋体" w:hint="eastAsia"/>
      <w:color w:val="000000"/>
      <w:sz w:val="22"/>
      <w:szCs w:val="22"/>
      <w:u w:val="none"/>
      <w:vertAlign w:val="subscript"/>
    </w:rPr>
  </w:style>
  <w:style w:type="character" w:customStyle="1" w:styleId="font01">
    <w:name w:val="font01"/>
    <w:basedOn w:val="a0"/>
    <w:rsid w:val="00AD52D5"/>
    <w:rPr>
      <w:rFonts w:ascii="Arial" w:hAnsi="Arial" w:cs="Arial"/>
      <w:color w:val="000000"/>
      <w:sz w:val="22"/>
      <w:szCs w:val="22"/>
      <w:u w:val="none"/>
    </w:rPr>
  </w:style>
  <w:style w:type="character" w:customStyle="1" w:styleId="font11">
    <w:name w:val="font11"/>
    <w:basedOn w:val="a0"/>
    <w:rsid w:val="00AD52D5"/>
    <w:rPr>
      <w:rFonts w:ascii="宋体" w:eastAsia="宋体" w:hAnsi="宋体" w:cs="宋体" w:hint="eastAsia"/>
      <w:color w:val="000000"/>
      <w:sz w:val="22"/>
      <w:szCs w:val="22"/>
      <w:u w:val="none"/>
    </w:rPr>
  </w:style>
  <w:style w:type="character" w:customStyle="1" w:styleId="font51">
    <w:name w:val="font51"/>
    <w:basedOn w:val="a0"/>
    <w:rsid w:val="00AD52D5"/>
    <w:rPr>
      <w:rFonts w:ascii="仿宋" w:eastAsia="仿宋" w:hAnsi="仿宋" w:cs="仿宋"/>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赵自强</cp:lastModifiedBy>
  <cp:revision>2</cp:revision>
  <dcterms:created xsi:type="dcterms:W3CDTF">2021-08-30T02:00:00Z</dcterms:created>
  <dcterms:modified xsi:type="dcterms:W3CDTF">2021-08-30T02:00:00Z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213C0E3AD1F340ADA792652EFBC3ED4C</vt:lpwstr>
  </property>
</Properties>
</file>